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9EB3B" w14:textId="2BD4968A" w:rsidR="00CB78F4" w:rsidRDefault="00131AD5" w:rsidP="006634CD">
      <w:pPr>
        <w:pStyle w:val="Subtitle"/>
        <w:rPr>
          <w:b/>
          <w:i w:val="0"/>
          <w:iCs w:val="0"/>
          <w:spacing w:val="5"/>
          <w:kern w:val="28"/>
          <w:sz w:val="36"/>
          <w:szCs w:val="52"/>
        </w:rPr>
      </w:pPr>
      <w:r w:rsidRPr="00131AD5">
        <w:rPr>
          <w:b/>
          <w:i w:val="0"/>
          <w:iCs w:val="0"/>
          <w:spacing w:val="5"/>
          <w:kern w:val="28"/>
          <w:sz w:val="36"/>
          <w:szCs w:val="52"/>
        </w:rPr>
        <w:t xml:space="preserve">Strategic National Risk Assessment </w:t>
      </w:r>
      <w:r w:rsidR="00FE3369">
        <w:rPr>
          <w:b/>
          <w:i w:val="0"/>
          <w:iCs w:val="0"/>
          <w:spacing w:val="5"/>
          <w:kern w:val="28"/>
          <w:sz w:val="36"/>
          <w:szCs w:val="52"/>
        </w:rPr>
        <w:t xml:space="preserve">2015 </w:t>
      </w:r>
      <w:r w:rsidRPr="00131AD5">
        <w:rPr>
          <w:b/>
          <w:i w:val="0"/>
          <w:iCs w:val="0"/>
          <w:spacing w:val="5"/>
          <w:kern w:val="28"/>
          <w:sz w:val="36"/>
          <w:szCs w:val="52"/>
        </w:rPr>
        <w:t xml:space="preserve">Update </w:t>
      </w:r>
      <w:r w:rsidR="00824804">
        <w:rPr>
          <w:b/>
          <w:i w:val="0"/>
          <w:iCs w:val="0"/>
          <w:spacing w:val="5"/>
          <w:kern w:val="28"/>
          <w:sz w:val="36"/>
          <w:szCs w:val="52"/>
        </w:rPr>
        <w:t xml:space="preserve">Background </w:t>
      </w:r>
      <w:r w:rsidR="00223D31">
        <w:rPr>
          <w:b/>
          <w:i w:val="0"/>
          <w:iCs w:val="0"/>
          <w:spacing w:val="5"/>
          <w:kern w:val="28"/>
          <w:sz w:val="36"/>
          <w:szCs w:val="52"/>
        </w:rPr>
        <w:t xml:space="preserve">&amp; General </w:t>
      </w:r>
      <w:r w:rsidRPr="00131AD5">
        <w:rPr>
          <w:b/>
          <w:i w:val="0"/>
          <w:iCs w:val="0"/>
          <w:spacing w:val="5"/>
          <w:kern w:val="28"/>
          <w:sz w:val="36"/>
          <w:szCs w:val="52"/>
        </w:rPr>
        <w:t xml:space="preserve">Guidance </w:t>
      </w:r>
    </w:p>
    <w:p w14:paraId="44A5B9F6" w14:textId="77777777" w:rsidR="00F4078A" w:rsidRPr="00F4078A" w:rsidRDefault="00F4078A" w:rsidP="00F4078A">
      <w:pPr>
        <w:rPr>
          <w:sz w:val="10"/>
        </w:rPr>
      </w:pPr>
    </w:p>
    <w:p w14:paraId="770C4B79" w14:textId="6A43AF50" w:rsidR="00310260" w:rsidRPr="00310260" w:rsidRDefault="00F65DCA" w:rsidP="005D2E36">
      <w:pPr>
        <w:keepNext/>
        <w:keepLines/>
        <w:spacing w:before="60" w:afterLines="60" w:after="144"/>
        <w:outlineLvl w:val="0"/>
        <w:rPr>
          <w:rFonts w:asciiTheme="majorHAnsi" w:eastAsiaTheme="majorEastAsia" w:hAnsiTheme="majorHAnsi" w:cstheme="majorBidi"/>
          <w:b/>
          <w:bCs/>
          <w:color w:val="002F80" w:themeColor="text2"/>
          <w:sz w:val="28"/>
          <w:szCs w:val="28"/>
        </w:rPr>
      </w:pPr>
      <w:bookmarkStart w:id="0" w:name="_Toc306703759"/>
      <w:r>
        <w:rPr>
          <w:rFonts w:asciiTheme="majorHAnsi" w:eastAsiaTheme="majorEastAsia" w:hAnsiTheme="majorHAnsi" w:cstheme="majorBidi"/>
          <w:b/>
          <w:bCs/>
          <w:color w:val="002F80" w:themeColor="text2"/>
          <w:sz w:val="28"/>
          <w:szCs w:val="28"/>
        </w:rPr>
        <w:t>Background and Intent</w:t>
      </w:r>
    </w:p>
    <w:p w14:paraId="4F5C631E" w14:textId="2ED38C98" w:rsidR="00131AD5" w:rsidRDefault="00F65DCA" w:rsidP="005D2E36">
      <w:pPr>
        <w:spacing w:before="60" w:afterLines="60" w:after="144"/>
      </w:pPr>
      <w:r>
        <w:t xml:space="preserve">In support of the continued implementation of Presidential Policy Directive 8: </w:t>
      </w:r>
      <w:r>
        <w:rPr>
          <w:i/>
        </w:rPr>
        <w:t xml:space="preserve">National Preparedness, </w:t>
      </w:r>
      <w:r>
        <w:t xml:space="preserve">the </w:t>
      </w:r>
      <w:r w:rsidR="00DE29D8">
        <w:t>FEMA National Integration Center (NIC) is leading a</w:t>
      </w:r>
      <w:r w:rsidR="00131AD5" w:rsidRPr="00131AD5">
        <w:t xml:space="preserve"> review</w:t>
      </w:r>
      <w:r w:rsidR="00DE29D8">
        <w:t xml:space="preserve"> of</w:t>
      </w:r>
      <w:r w:rsidR="00131AD5" w:rsidRPr="00131AD5">
        <w:t xml:space="preserve"> the publicly disseminated findings</w:t>
      </w:r>
      <w:r w:rsidR="00131AD5" w:rsidRPr="00131AD5">
        <w:rPr>
          <w:vertAlign w:val="superscript"/>
        </w:rPr>
        <w:footnoteReference w:id="1"/>
      </w:r>
      <w:r w:rsidR="00131AD5" w:rsidRPr="00131AD5">
        <w:t xml:space="preserve"> from the 2011 Strategic National Risk Assessment (SNRA) for accuracy and r</w:t>
      </w:r>
      <w:r w:rsidR="00BE20B3">
        <w:t>e</w:t>
      </w:r>
      <w:r w:rsidR="00131AD5" w:rsidRPr="00131AD5">
        <w:t xml:space="preserve">levancy. </w:t>
      </w:r>
      <w:r w:rsidR="00DE29D8">
        <w:t>In doing so,</w:t>
      </w:r>
      <w:r w:rsidR="0027604B">
        <w:t xml:space="preserve"> the NIC is </w:t>
      </w:r>
      <w:r w:rsidR="00DE29D8">
        <w:t xml:space="preserve">seeking </w:t>
      </w:r>
      <w:r w:rsidR="00131AD5" w:rsidRPr="00131AD5">
        <w:t xml:space="preserve">assistance </w:t>
      </w:r>
      <w:r w:rsidR="00DE29D8">
        <w:t xml:space="preserve">from stakeholders </w:t>
      </w:r>
      <w:r w:rsidR="00131AD5" w:rsidRPr="00131AD5">
        <w:t xml:space="preserve">in </w:t>
      </w:r>
      <w:r w:rsidR="00DE29D8">
        <w:t>the review process.</w:t>
      </w:r>
      <w:r w:rsidR="00A86830">
        <w:t xml:space="preserve"> This document provides general guidance for you, as a stakeholder, </w:t>
      </w:r>
      <w:r w:rsidR="0027604B">
        <w:t>for</w:t>
      </w:r>
      <w:r w:rsidR="00A86830">
        <w:t xml:space="preserve"> participat</w:t>
      </w:r>
      <w:r w:rsidR="0027604B">
        <w:t>ion</w:t>
      </w:r>
      <w:r w:rsidR="00A86830">
        <w:t xml:space="preserve"> in this process. </w:t>
      </w:r>
      <w:r w:rsidR="00131AD5" w:rsidRPr="00131AD5">
        <w:t xml:space="preserve">  </w:t>
      </w:r>
    </w:p>
    <w:p w14:paraId="560F8DCF" w14:textId="30DDA7BC" w:rsidR="0027604B" w:rsidRDefault="0027604B" w:rsidP="005D2E36">
      <w:pPr>
        <w:pStyle w:val="Bullet1"/>
        <w:spacing w:before="60" w:afterLines="60" w:after="144"/>
      </w:pPr>
      <w:r w:rsidRPr="0027604B">
        <w:rPr>
          <w:bCs/>
        </w:rPr>
        <w:t xml:space="preserve">The intent of reviewing and updating the 2011 SNRA is to provide an updated </w:t>
      </w:r>
      <w:r w:rsidRPr="00BE20B3">
        <w:t>national-risk picture for senior level decision-makers</w:t>
      </w:r>
      <w:r w:rsidR="0002440B" w:rsidRPr="0002440B">
        <w:t xml:space="preserve"> </w:t>
      </w:r>
      <w:r w:rsidR="0002440B">
        <w:t>and to support the update to the National Preparedness Goal, a parallel effort underway</w:t>
      </w:r>
      <w:r w:rsidRPr="00BE20B3">
        <w:t xml:space="preserve">. </w:t>
      </w:r>
      <w:r w:rsidRPr="00131AD5">
        <w:t xml:space="preserve">The 2015 SNRA will </w:t>
      </w:r>
      <w:r>
        <w:t xml:space="preserve">include updates from the 2011 version and additional considerations </w:t>
      </w:r>
      <w:r w:rsidRPr="005D2E36">
        <w:t>for evolving threats and climate change. FEMA</w:t>
      </w:r>
      <w:r>
        <w:t xml:space="preserve"> intends to </w:t>
      </w:r>
      <w:r w:rsidRPr="00BE20B3">
        <w:t>use unclassi</w:t>
      </w:r>
      <w:r>
        <w:t>fied information to the maximum</w:t>
      </w:r>
      <w:r w:rsidRPr="00BE20B3">
        <w:t xml:space="preserve"> extent possible</w:t>
      </w:r>
      <w:r>
        <w:t xml:space="preserve"> to </w:t>
      </w:r>
      <w:r w:rsidRPr="00BE20B3">
        <w:t>help ensu</w:t>
      </w:r>
      <w:r>
        <w:t>re our ability to disseminate the summary to a wider s</w:t>
      </w:r>
      <w:r w:rsidRPr="00BE20B3">
        <w:t>takeholder</w:t>
      </w:r>
      <w:r>
        <w:t xml:space="preserve"> audience</w:t>
      </w:r>
      <w:r w:rsidRPr="00BE20B3">
        <w:t>.</w:t>
      </w:r>
    </w:p>
    <w:p w14:paraId="24DBE863" w14:textId="77777777" w:rsidR="00F4078A" w:rsidRPr="00F4078A" w:rsidRDefault="00F4078A" w:rsidP="005D2E36">
      <w:pPr>
        <w:pStyle w:val="Bullet1"/>
        <w:spacing w:before="60" w:afterLines="60" w:after="144"/>
        <w:rPr>
          <w:sz w:val="14"/>
        </w:rPr>
      </w:pPr>
    </w:p>
    <w:p w14:paraId="3B16171B" w14:textId="3909C233" w:rsidR="001A008F" w:rsidRPr="00310260" w:rsidRDefault="001A008F" w:rsidP="005D2E36">
      <w:pPr>
        <w:keepNext/>
        <w:keepLines/>
        <w:spacing w:before="60" w:afterLines="60" w:after="144"/>
        <w:outlineLvl w:val="0"/>
        <w:rPr>
          <w:rFonts w:asciiTheme="majorHAnsi" w:eastAsiaTheme="majorEastAsia" w:hAnsiTheme="majorHAnsi" w:cstheme="majorBidi"/>
          <w:b/>
          <w:bCs/>
          <w:color w:val="002F80" w:themeColor="text2"/>
          <w:sz w:val="28"/>
          <w:szCs w:val="28"/>
        </w:rPr>
      </w:pPr>
      <w:r>
        <w:rPr>
          <w:rFonts w:asciiTheme="majorHAnsi" w:eastAsiaTheme="majorEastAsia" w:hAnsiTheme="majorHAnsi" w:cstheme="majorBidi"/>
          <w:b/>
          <w:bCs/>
          <w:color w:val="002F80" w:themeColor="text2"/>
          <w:sz w:val="28"/>
          <w:szCs w:val="28"/>
        </w:rPr>
        <w:t xml:space="preserve">Documents of Reference </w:t>
      </w:r>
    </w:p>
    <w:p w14:paraId="04564BDD" w14:textId="77777777" w:rsidR="005D2E36" w:rsidRDefault="001A008F" w:rsidP="005D2E36">
      <w:pPr>
        <w:pStyle w:val="Bullet1"/>
        <w:spacing w:before="60" w:afterLines="60" w:after="144"/>
        <w:rPr>
          <w:rFonts w:ascii="Times New Roman" w:hAnsi="Times New Roman"/>
          <w:szCs w:val="24"/>
        </w:rPr>
      </w:pPr>
      <w:r>
        <w:rPr>
          <w:rFonts w:ascii="Times New Roman" w:hAnsi="Times New Roman"/>
          <w:szCs w:val="24"/>
        </w:rPr>
        <w:t xml:space="preserve">The following documents are those </w:t>
      </w:r>
      <w:r w:rsidR="005A330A">
        <w:rPr>
          <w:rFonts w:ascii="Times New Roman" w:hAnsi="Times New Roman"/>
          <w:szCs w:val="24"/>
        </w:rPr>
        <w:t>we will reference</w:t>
      </w:r>
      <w:r>
        <w:rPr>
          <w:rFonts w:ascii="Times New Roman" w:hAnsi="Times New Roman"/>
          <w:szCs w:val="24"/>
        </w:rPr>
        <w:t xml:space="preserve"> in support of the SNRA review:</w:t>
      </w:r>
    </w:p>
    <w:p w14:paraId="7789E5D3" w14:textId="022C2B3B" w:rsidR="001A008F" w:rsidRPr="001A008F" w:rsidRDefault="001A008F" w:rsidP="005D2E36">
      <w:pPr>
        <w:pStyle w:val="Bullet1"/>
        <w:numPr>
          <w:ilvl w:val="0"/>
          <w:numId w:val="3"/>
        </w:numPr>
        <w:spacing w:before="60" w:afterLines="60" w:after="144"/>
        <w:rPr>
          <w:rFonts w:ascii="Times New Roman" w:hAnsi="Times New Roman"/>
          <w:szCs w:val="24"/>
        </w:rPr>
      </w:pPr>
      <w:r w:rsidRPr="00070881">
        <w:rPr>
          <w:b/>
        </w:rPr>
        <w:t>T</w:t>
      </w:r>
      <w:r w:rsidR="00766C18" w:rsidRPr="00070881">
        <w:rPr>
          <w:b/>
        </w:rPr>
        <w:t xml:space="preserve">he </w:t>
      </w:r>
      <w:r w:rsidRPr="00070881">
        <w:rPr>
          <w:b/>
        </w:rPr>
        <w:t xml:space="preserve">2011 </w:t>
      </w:r>
      <w:r w:rsidR="00305FA6">
        <w:rPr>
          <w:b/>
        </w:rPr>
        <w:t xml:space="preserve">Unclassified </w:t>
      </w:r>
      <w:r w:rsidRPr="00070881">
        <w:rPr>
          <w:b/>
        </w:rPr>
        <w:t>SNRA</w:t>
      </w:r>
      <w:r>
        <w:t xml:space="preserve"> (</w:t>
      </w:r>
      <w:r w:rsidR="004672F3">
        <w:t>7 page unclassified public version</w:t>
      </w:r>
      <w:r w:rsidR="00305FA6">
        <w:t>; December 2011</w:t>
      </w:r>
      <w:r>
        <w:t xml:space="preserve">) </w:t>
      </w:r>
      <w:r w:rsidRPr="001A008F">
        <w:rPr>
          <w:rFonts w:ascii="Times New Roman" w:hAnsi="Times New Roman"/>
          <w:szCs w:val="24"/>
        </w:rPr>
        <w:t xml:space="preserve">– this is the document </w:t>
      </w:r>
      <w:r w:rsidR="00305FA6">
        <w:rPr>
          <w:rFonts w:ascii="Times New Roman" w:hAnsi="Times New Roman"/>
          <w:szCs w:val="24"/>
        </w:rPr>
        <w:t>being reviewed and updated in 2015 (</w:t>
      </w:r>
      <w:hyperlink r:id="rId8" w:history="1">
        <w:r w:rsidR="00C144A1" w:rsidRPr="002232E0">
          <w:rPr>
            <w:rStyle w:val="Hyperlink"/>
            <w:rFonts w:ascii="Times New Roman" w:hAnsi="Times New Roman"/>
            <w:szCs w:val="24"/>
          </w:rPr>
          <w:t>http://www.dhs.gov/xlibrary/assets/rma-strategic-national-risk-assessment-ppd8.pdf</w:t>
        </w:r>
      </w:hyperlink>
      <w:r w:rsidR="00305FA6">
        <w:rPr>
          <w:rFonts w:ascii="Times New Roman" w:hAnsi="Times New Roman"/>
          <w:szCs w:val="24"/>
        </w:rPr>
        <w:t>)</w:t>
      </w:r>
      <w:r w:rsidR="00C144A1">
        <w:rPr>
          <w:rFonts w:ascii="Times New Roman" w:hAnsi="Times New Roman"/>
          <w:szCs w:val="24"/>
        </w:rPr>
        <w:t>.</w:t>
      </w:r>
    </w:p>
    <w:p w14:paraId="0042D8A0" w14:textId="60CC4618" w:rsidR="001A008F" w:rsidRDefault="00305FA6" w:rsidP="005D2E36">
      <w:pPr>
        <w:numPr>
          <w:ilvl w:val="0"/>
          <w:numId w:val="3"/>
        </w:numPr>
        <w:spacing w:before="60" w:afterLines="60" w:after="144"/>
        <w:rPr>
          <w:rFonts w:ascii="Times New Roman" w:hAnsi="Times New Roman"/>
          <w:szCs w:val="24"/>
        </w:rPr>
      </w:pPr>
      <w:r>
        <w:rPr>
          <w:rFonts w:ascii="Times New Roman" w:hAnsi="Times New Roman"/>
          <w:b/>
          <w:bCs/>
          <w:szCs w:val="24"/>
        </w:rPr>
        <w:t>SNRA 2011 U</w:t>
      </w:r>
      <w:r w:rsidR="004672F3">
        <w:rPr>
          <w:rFonts w:ascii="Times New Roman" w:hAnsi="Times New Roman"/>
          <w:b/>
          <w:bCs/>
          <w:szCs w:val="24"/>
        </w:rPr>
        <w:t>nclassified PPD-8 C</w:t>
      </w:r>
      <w:r w:rsidR="001A008F">
        <w:rPr>
          <w:rFonts w:ascii="Times New Roman" w:hAnsi="Times New Roman"/>
          <w:b/>
          <w:bCs/>
          <w:szCs w:val="24"/>
        </w:rPr>
        <w:t>irculation draft</w:t>
      </w:r>
      <w:r w:rsidR="001A008F">
        <w:rPr>
          <w:rFonts w:ascii="Times New Roman" w:hAnsi="Times New Roman"/>
          <w:szCs w:val="24"/>
        </w:rPr>
        <w:t xml:space="preserve"> </w:t>
      </w:r>
      <w:r w:rsidR="00F4078A">
        <w:rPr>
          <w:rFonts w:ascii="Times New Roman" w:hAnsi="Times New Roman"/>
          <w:szCs w:val="24"/>
        </w:rPr>
        <w:t xml:space="preserve">(FEMA provided) </w:t>
      </w:r>
      <w:r w:rsidR="001A008F">
        <w:rPr>
          <w:rFonts w:ascii="Times New Roman" w:hAnsi="Times New Roman"/>
          <w:szCs w:val="24"/>
        </w:rPr>
        <w:t>–</w:t>
      </w:r>
      <w:r w:rsidR="00F4078A">
        <w:rPr>
          <w:rFonts w:ascii="Times New Roman" w:hAnsi="Times New Roman"/>
          <w:szCs w:val="24"/>
        </w:rPr>
        <w:t xml:space="preserve"> </w:t>
      </w:r>
      <w:r w:rsidR="001A008F">
        <w:rPr>
          <w:rFonts w:ascii="Times New Roman" w:hAnsi="Times New Roman"/>
          <w:szCs w:val="24"/>
        </w:rPr>
        <w:t xml:space="preserve">this document is </w:t>
      </w:r>
      <w:r w:rsidR="00C144A1">
        <w:rPr>
          <w:rFonts w:ascii="Times New Roman" w:hAnsi="Times New Roman"/>
          <w:szCs w:val="24"/>
        </w:rPr>
        <w:t xml:space="preserve">provided to stakeholders in the SNRA process </w:t>
      </w:r>
      <w:r>
        <w:rPr>
          <w:rFonts w:ascii="Times New Roman" w:hAnsi="Times New Roman"/>
          <w:szCs w:val="24"/>
        </w:rPr>
        <w:t xml:space="preserve">directly from FEMA and </w:t>
      </w:r>
      <w:r w:rsidR="001A008F">
        <w:rPr>
          <w:rFonts w:ascii="Times New Roman" w:hAnsi="Times New Roman"/>
          <w:szCs w:val="24"/>
        </w:rPr>
        <w:t xml:space="preserve">for reference </w:t>
      </w:r>
      <w:r>
        <w:rPr>
          <w:rFonts w:ascii="Times New Roman" w:hAnsi="Times New Roman"/>
          <w:szCs w:val="24"/>
        </w:rPr>
        <w:t xml:space="preserve">purposes </w:t>
      </w:r>
      <w:r w:rsidR="001A008F">
        <w:rPr>
          <w:rFonts w:ascii="Times New Roman" w:hAnsi="Times New Roman"/>
          <w:szCs w:val="24"/>
        </w:rPr>
        <w:t>only</w:t>
      </w:r>
      <w:r w:rsidR="00C144A1">
        <w:rPr>
          <w:rFonts w:ascii="Times New Roman" w:hAnsi="Times New Roman"/>
          <w:szCs w:val="24"/>
        </w:rPr>
        <w:t xml:space="preserve">. It </w:t>
      </w:r>
      <w:r w:rsidR="001A008F">
        <w:rPr>
          <w:rFonts w:ascii="Times New Roman" w:hAnsi="Times New Roman"/>
          <w:szCs w:val="24"/>
        </w:rPr>
        <w:t xml:space="preserve">provides the unclassified basis </w:t>
      </w:r>
      <w:r w:rsidR="00CD54B5">
        <w:rPr>
          <w:rFonts w:ascii="Times New Roman" w:hAnsi="Times New Roman"/>
          <w:szCs w:val="24"/>
        </w:rPr>
        <w:t xml:space="preserve">(including risk summary sheets) </w:t>
      </w:r>
      <w:r w:rsidR="001A008F">
        <w:rPr>
          <w:rFonts w:ascii="Times New Roman" w:hAnsi="Times New Roman"/>
          <w:szCs w:val="24"/>
        </w:rPr>
        <w:t xml:space="preserve">for the SNRA summary document. </w:t>
      </w:r>
      <w:r w:rsidR="004672F3">
        <w:rPr>
          <w:rFonts w:ascii="Times New Roman" w:hAnsi="Times New Roman"/>
          <w:szCs w:val="24"/>
        </w:rPr>
        <w:t xml:space="preserve">This document </w:t>
      </w:r>
      <w:r w:rsidR="00C144A1">
        <w:rPr>
          <w:rFonts w:ascii="Times New Roman" w:hAnsi="Times New Roman"/>
          <w:szCs w:val="24"/>
        </w:rPr>
        <w:t xml:space="preserve">is not to be distributed beyond those stakeholders involved in SNRA-related efforts. </w:t>
      </w:r>
    </w:p>
    <w:p w14:paraId="1F51D409" w14:textId="65894DA1" w:rsidR="001A008F" w:rsidRDefault="001A008F" w:rsidP="005D2E36">
      <w:pPr>
        <w:numPr>
          <w:ilvl w:val="0"/>
          <w:numId w:val="3"/>
        </w:numPr>
        <w:spacing w:before="60" w:afterLines="60" w:after="144"/>
        <w:rPr>
          <w:rFonts w:ascii="Times New Roman" w:hAnsi="Times New Roman"/>
          <w:b/>
          <w:bCs/>
          <w:szCs w:val="24"/>
        </w:rPr>
      </w:pPr>
      <w:r>
        <w:rPr>
          <w:rFonts w:ascii="Times New Roman" w:hAnsi="Times New Roman"/>
          <w:b/>
          <w:bCs/>
          <w:szCs w:val="24"/>
        </w:rPr>
        <w:t xml:space="preserve">SNRA 2015 Risk summary sheet instructions and template </w:t>
      </w:r>
      <w:r w:rsidR="00F4078A">
        <w:rPr>
          <w:rFonts w:ascii="Times New Roman" w:hAnsi="Times New Roman"/>
          <w:szCs w:val="24"/>
        </w:rPr>
        <w:t xml:space="preserve">(FEMA provided) </w:t>
      </w:r>
      <w:r>
        <w:rPr>
          <w:rFonts w:ascii="Times New Roman" w:hAnsi="Times New Roman"/>
          <w:b/>
          <w:bCs/>
          <w:szCs w:val="24"/>
        </w:rPr>
        <w:t xml:space="preserve">– </w:t>
      </w:r>
      <w:r>
        <w:rPr>
          <w:rFonts w:ascii="Times New Roman" w:hAnsi="Times New Roman"/>
          <w:szCs w:val="24"/>
        </w:rPr>
        <w:t xml:space="preserve">provides detailed instructions for how to update a risk summary sheet with quantifiable information. </w:t>
      </w:r>
    </w:p>
    <w:p w14:paraId="214018FD" w14:textId="5F73FE6A" w:rsidR="001A008F" w:rsidRPr="005A330A" w:rsidRDefault="001A008F" w:rsidP="005D2E36">
      <w:pPr>
        <w:numPr>
          <w:ilvl w:val="0"/>
          <w:numId w:val="3"/>
        </w:numPr>
        <w:spacing w:before="60" w:afterLines="60" w:after="144"/>
        <w:rPr>
          <w:rFonts w:ascii="Times New Roman" w:hAnsi="Times New Roman"/>
          <w:b/>
          <w:bCs/>
          <w:szCs w:val="24"/>
        </w:rPr>
      </w:pPr>
      <w:r>
        <w:rPr>
          <w:rFonts w:ascii="Times New Roman" w:hAnsi="Times New Roman"/>
          <w:b/>
          <w:bCs/>
          <w:szCs w:val="24"/>
        </w:rPr>
        <w:t xml:space="preserve">SNRA 2015 Qualitative Data Instructions </w:t>
      </w:r>
      <w:r w:rsidR="00F4078A">
        <w:rPr>
          <w:rFonts w:ascii="Times New Roman" w:hAnsi="Times New Roman"/>
          <w:szCs w:val="24"/>
        </w:rPr>
        <w:t xml:space="preserve">(FEMA provided) </w:t>
      </w:r>
      <w:r>
        <w:rPr>
          <w:rFonts w:ascii="Times New Roman" w:hAnsi="Times New Roman"/>
          <w:b/>
          <w:bCs/>
          <w:szCs w:val="24"/>
        </w:rPr>
        <w:t xml:space="preserve">– </w:t>
      </w:r>
      <w:r>
        <w:rPr>
          <w:rFonts w:ascii="Times New Roman" w:hAnsi="Times New Roman"/>
          <w:szCs w:val="24"/>
        </w:rPr>
        <w:t xml:space="preserve">qualitative data submissions will primarily be used to support new </w:t>
      </w:r>
      <w:r w:rsidR="00C144A1">
        <w:rPr>
          <w:rFonts w:ascii="Times New Roman" w:hAnsi="Times New Roman"/>
          <w:szCs w:val="24"/>
        </w:rPr>
        <w:t>content</w:t>
      </w:r>
      <w:r>
        <w:rPr>
          <w:rFonts w:ascii="Times New Roman" w:hAnsi="Times New Roman"/>
          <w:szCs w:val="24"/>
        </w:rPr>
        <w:t xml:space="preserve"> in the 2015 SNRA summary document, </w:t>
      </w:r>
      <w:r w:rsidR="00C144A1">
        <w:rPr>
          <w:rFonts w:ascii="Times New Roman" w:hAnsi="Times New Roman"/>
          <w:szCs w:val="24"/>
        </w:rPr>
        <w:t>including evolving threats and climate change</w:t>
      </w:r>
      <w:r>
        <w:rPr>
          <w:rFonts w:ascii="Times New Roman" w:hAnsi="Times New Roman"/>
          <w:szCs w:val="24"/>
        </w:rPr>
        <w:t>.</w:t>
      </w:r>
    </w:p>
    <w:p w14:paraId="047B800D" w14:textId="33283317" w:rsidR="001A008F" w:rsidRPr="005A330A" w:rsidRDefault="001A008F" w:rsidP="005D2E36">
      <w:pPr>
        <w:keepNext/>
        <w:keepLines/>
        <w:spacing w:before="60" w:afterLines="60" w:after="144"/>
        <w:outlineLvl w:val="0"/>
        <w:rPr>
          <w:rFonts w:asciiTheme="majorHAnsi" w:eastAsiaTheme="majorEastAsia" w:hAnsiTheme="majorHAnsi" w:cstheme="majorBidi"/>
          <w:b/>
          <w:bCs/>
          <w:color w:val="002F80" w:themeColor="text2"/>
          <w:sz w:val="28"/>
          <w:szCs w:val="28"/>
        </w:rPr>
      </w:pPr>
      <w:r w:rsidRPr="005A330A">
        <w:rPr>
          <w:rFonts w:asciiTheme="majorHAnsi" w:eastAsiaTheme="majorEastAsia" w:hAnsiTheme="majorHAnsi" w:cstheme="majorBidi"/>
          <w:b/>
          <w:bCs/>
          <w:color w:val="002F80" w:themeColor="text2"/>
          <w:sz w:val="28"/>
          <w:szCs w:val="28"/>
        </w:rPr>
        <w:lastRenderedPageBreak/>
        <w:t>General Guidance for the SNRA 201</w:t>
      </w:r>
      <w:r w:rsidR="00372FCB">
        <w:rPr>
          <w:rFonts w:asciiTheme="majorHAnsi" w:eastAsiaTheme="majorEastAsia" w:hAnsiTheme="majorHAnsi" w:cstheme="majorBidi"/>
          <w:b/>
          <w:bCs/>
          <w:color w:val="002F80" w:themeColor="text2"/>
          <w:sz w:val="28"/>
          <w:szCs w:val="28"/>
        </w:rPr>
        <w:t>5 Update</w:t>
      </w:r>
      <w:r w:rsidRPr="005A330A">
        <w:rPr>
          <w:rFonts w:asciiTheme="majorHAnsi" w:eastAsiaTheme="majorEastAsia" w:hAnsiTheme="majorHAnsi" w:cstheme="majorBidi"/>
          <w:b/>
          <w:bCs/>
          <w:color w:val="002F80" w:themeColor="text2"/>
          <w:sz w:val="28"/>
          <w:szCs w:val="28"/>
        </w:rPr>
        <w:t xml:space="preserve"> Process</w:t>
      </w:r>
    </w:p>
    <w:p w14:paraId="707BD995" w14:textId="77777777" w:rsidR="00B51EA1" w:rsidRDefault="009414A4" w:rsidP="005D2E36">
      <w:pPr>
        <w:pStyle w:val="Bullet1"/>
        <w:numPr>
          <w:ilvl w:val="0"/>
          <w:numId w:val="25"/>
        </w:numPr>
        <w:spacing w:before="60" w:afterLines="60" w:after="144"/>
      </w:pPr>
      <w:r>
        <w:t xml:space="preserve">Review the 2011 SNRA and the </w:t>
      </w:r>
      <w:r w:rsidR="00B51EA1">
        <w:rPr>
          <w:rFonts w:ascii="Times New Roman" w:hAnsi="Times New Roman"/>
          <w:szCs w:val="24"/>
        </w:rPr>
        <w:t>risk summary sheets contained within</w:t>
      </w:r>
      <w:r w:rsidR="00B51EA1">
        <w:t xml:space="preserve"> </w:t>
      </w:r>
      <w:r>
        <w:t xml:space="preserve">2011 SNRA unclassified PPD-8 circulation draft. </w:t>
      </w:r>
    </w:p>
    <w:p w14:paraId="06C2F915" w14:textId="64F0896D" w:rsidR="00A62577" w:rsidRDefault="00B51EA1" w:rsidP="005D2E36">
      <w:pPr>
        <w:pStyle w:val="Bullet1"/>
        <w:numPr>
          <w:ilvl w:val="0"/>
          <w:numId w:val="25"/>
        </w:numPr>
        <w:spacing w:beforeLines="60" w:before="144" w:afterLines="60" w:after="144"/>
      </w:pPr>
      <w:r>
        <w:rPr>
          <w:rFonts w:ascii="Times New Roman" w:hAnsi="Times New Roman"/>
          <w:szCs w:val="24"/>
        </w:rPr>
        <w:t xml:space="preserve">Submit </w:t>
      </w:r>
      <w:r w:rsidR="0002440B">
        <w:rPr>
          <w:rFonts w:ascii="Times New Roman" w:hAnsi="Times New Roman"/>
          <w:szCs w:val="24"/>
        </w:rPr>
        <w:t>feedback on the 2011 SNRA</w:t>
      </w:r>
      <w:r w:rsidR="00A62577">
        <w:rPr>
          <w:rFonts w:ascii="Times New Roman" w:hAnsi="Times New Roman"/>
          <w:szCs w:val="24"/>
        </w:rPr>
        <w:t>.</w:t>
      </w:r>
      <w:r w:rsidR="0002440B">
        <w:rPr>
          <w:rFonts w:ascii="Times New Roman" w:hAnsi="Times New Roman"/>
          <w:szCs w:val="24"/>
        </w:rPr>
        <w:t xml:space="preserve"> </w:t>
      </w:r>
      <w:r w:rsidR="00A62577" w:rsidRPr="00131AD5">
        <w:t>If you determine that any of the findings in the document are inaccurate or</w:t>
      </w:r>
      <w:r w:rsidR="00A62577">
        <w:t xml:space="preserve"> are</w:t>
      </w:r>
      <w:r w:rsidR="00A62577" w:rsidRPr="00131AD5">
        <w:t xml:space="preserve"> no longer relevant, please provide the data </w:t>
      </w:r>
      <w:r w:rsidR="00363261">
        <w:t xml:space="preserve">needed </w:t>
      </w:r>
      <w:r w:rsidR="00A62577" w:rsidRPr="00131AD5">
        <w:t xml:space="preserve">to defend any </w:t>
      </w:r>
      <w:r w:rsidR="00363261">
        <w:t xml:space="preserve">proposed </w:t>
      </w:r>
      <w:r w:rsidR="00A62577" w:rsidRPr="00131AD5">
        <w:t>corrections.</w:t>
      </w:r>
      <w:r w:rsidR="00A62577" w:rsidRPr="00131AD5">
        <w:rPr>
          <w:vertAlign w:val="superscript"/>
        </w:rPr>
        <w:footnoteReference w:id="2"/>
      </w:r>
      <w:r w:rsidR="00A62577">
        <w:t xml:space="preserve"> </w:t>
      </w:r>
    </w:p>
    <w:p w14:paraId="45FBE0C3" w14:textId="04FD9CC7" w:rsidR="00B51EA1" w:rsidRDefault="00305FA6" w:rsidP="005D2E36">
      <w:pPr>
        <w:numPr>
          <w:ilvl w:val="0"/>
          <w:numId w:val="25"/>
        </w:numPr>
        <w:spacing w:beforeLines="60" w:before="144" w:afterLines="60" w:after="144"/>
        <w:rPr>
          <w:rFonts w:ascii="Times New Roman" w:hAnsi="Times New Roman"/>
          <w:szCs w:val="24"/>
        </w:rPr>
      </w:pPr>
      <w:r>
        <w:rPr>
          <w:rFonts w:ascii="Times New Roman" w:hAnsi="Times New Roman"/>
          <w:szCs w:val="24"/>
        </w:rPr>
        <w:t>Submit</w:t>
      </w:r>
      <w:r w:rsidR="0002440B">
        <w:rPr>
          <w:rFonts w:ascii="Times New Roman" w:hAnsi="Times New Roman"/>
          <w:szCs w:val="24"/>
        </w:rPr>
        <w:t xml:space="preserve"> </w:t>
      </w:r>
      <w:r w:rsidR="00B51EA1">
        <w:rPr>
          <w:rFonts w:ascii="Times New Roman" w:hAnsi="Times New Roman"/>
          <w:szCs w:val="24"/>
        </w:rPr>
        <w:t>updated risk summary sheets a</w:t>
      </w:r>
      <w:r w:rsidR="0002440B">
        <w:rPr>
          <w:rFonts w:ascii="Times New Roman" w:hAnsi="Times New Roman"/>
          <w:szCs w:val="24"/>
        </w:rPr>
        <w:t xml:space="preserve">long with </w:t>
      </w:r>
      <w:r w:rsidR="00B51EA1">
        <w:rPr>
          <w:rFonts w:ascii="Times New Roman" w:hAnsi="Times New Roman"/>
          <w:szCs w:val="24"/>
        </w:rPr>
        <w:t xml:space="preserve">any supporting information for specific threats and hazards ONLY IF those updates would change the findings in </w:t>
      </w:r>
      <w:r w:rsidR="00A62577">
        <w:rPr>
          <w:rFonts w:ascii="Times New Roman" w:hAnsi="Times New Roman"/>
          <w:szCs w:val="24"/>
        </w:rPr>
        <w:t>the 2011 SNRA summary document</w:t>
      </w:r>
      <w:r w:rsidR="00B51EA1">
        <w:rPr>
          <w:rFonts w:ascii="Times New Roman" w:hAnsi="Times New Roman"/>
          <w:szCs w:val="24"/>
        </w:rPr>
        <w:t xml:space="preserve"> or</w:t>
      </w:r>
      <w:r w:rsidR="00A62577">
        <w:rPr>
          <w:rFonts w:ascii="Times New Roman" w:hAnsi="Times New Roman"/>
          <w:szCs w:val="24"/>
        </w:rPr>
        <w:t xml:space="preserve"> those updates are proposed a</w:t>
      </w:r>
      <w:r>
        <w:rPr>
          <w:rFonts w:ascii="Times New Roman" w:hAnsi="Times New Roman"/>
          <w:szCs w:val="24"/>
        </w:rPr>
        <w:t>s new threats and hazards</w:t>
      </w:r>
      <w:r w:rsidR="00A62577">
        <w:rPr>
          <w:rFonts w:ascii="Times New Roman" w:hAnsi="Times New Roman"/>
          <w:szCs w:val="24"/>
        </w:rPr>
        <w:t xml:space="preserve">. </w:t>
      </w:r>
      <w:r w:rsidR="004672F3">
        <w:rPr>
          <w:rFonts w:ascii="Times New Roman" w:hAnsi="Times New Roman"/>
          <w:szCs w:val="24"/>
        </w:rPr>
        <w:t>Please see the provided instructions for how to complete a risk summary sheet, and/or how to submit qualitative data for this effort. Please be sure to include all supporting data accordingly.</w:t>
      </w:r>
      <w:r w:rsidR="00B51EA1">
        <w:rPr>
          <w:rFonts w:ascii="Times New Roman" w:hAnsi="Times New Roman"/>
          <w:szCs w:val="24"/>
        </w:rPr>
        <w:t xml:space="preserve"> </w:t>
      </w:r>
    </w:p>
    <w:p w14:paraId="73C8DF5A" w14:textId="6B8A75E3" w:rsidR="0002440B" w:rsidRDefault="0002440B" w:rsidP="005D2E36">
      <w:pPr>
        <w:pStyle w:val="Bullet2"/>
        <w:numPr>
          <w:ilvl w:val="0"/>
          <w:numId w:val="25"/>
        </w:numPr>
        <w:spacing w:beforeLines="60" w:before="144" w:afterLines="60" w:after="144"/>
      </w:pPr>
      <w:r w:rsidRPr="00131AD5">
        <w:t>If y</w:t>
      </w:r>
      <w:r>
        <w:t xml:space="preserve">ou have previously submitted this </w:t>
      </w:r>
      <w:r w:rsidRPr="00131AD5">
        <w:t>data to FEMA for a</w:t>
      </w:r>
      <w:r>
        <w:t>nother</w:t>
      </w:r>
      <w:r w:rsidRPr="00131AD5">
        <w:t xml:space="preserve"> data call (e.g. National Preparedness Repo</w:t>
      </w:r>
      <w:r>
        <w:t>rt</w:t>
      </w:r>
      <w:r w:rsidRPr="00131AD5">
        <w:t>)</w:t>
      </w:r>
      <w:r>
        <w:t>, then</w:t>
      </w:r>
      <w:r w:rsidRPr="00131AD5">
        <w:t xml:space="preserve"> </w:t>
      </w:r>
      <w:r w:rsidRPr="00131AD5">
        <w:rPr>
          <w:b/>
        </w:rPr>
        <w:t>there is no need to submit it again</w:t>
      </w:r>
      <w:r w:rsidRPr="00131AD5">
        <w:t xml:space="preserve">. However, please </w:t>
      </w:r>
      <w:r>
        <w:t>provide us with</w:t>
      </w:r>
      <w:r w:rsidRPr="00131AD5">
        <w:t xml:space="preserve"> the POC</w:t>
      </w:r>
      <w:r>
        <w:t xml:space="preserve"> and specific </w:t>
      </w:r>
      <w:r w:rsidRPr="00131AD5">
        <w:t>data call ch</w:t>
      </w:r>
      <w:r>
        <w:t xml:space="preserve">annel to which you submitted and we will coordinate directly through appropriate channels. </w:t>
      </w:r>
    </w:p>
    <w:p w14:paraId="3F142D8A" w14:textId="31CDF4C1" w:rsidR="00B51EA1" w:rsidRDefault="00A62577" w:rsidP="005D2E36">
      <w:pPr>
        <w:pStyle w:val="Bullet1"/>
        <w:numPr>
          <w:ilvl w:val="0"/>
          <w:numId w:val="25"/>
        </w:numPr>
        <w:spacing w:beforeLines="60" w:before="144" w:afterLines="60" w:after="144"/>
      </w:pPr>
      <w:r>
        <w:t xml:space="preserve">The SNRA is not intended to include </w:t>
      </w:r>
      <w:r w:rsidRPr="00BE20B3">
        <w:t>a definitive list of all risks, real or potential</w:t>
      </w:r>
      <w:r>
        <w:t>.</w:t>
      </w:r>
    </w:p>
    <w:p w14:paraId="2B31D53B" w14:textId="5D3A8A78" w:rsidR="00A62577" w:rsidRDefault="00A62577" w:rsidP="005D2E36">
      <w:pPr>
        <w:pStyle w:val="Bullet1"/>
        <w:numPr>
          <w:ilvl w:val="0"/>
          <w:numId w:val="25"/>
        </w:numPr>
        <w:spacing w:beforeLines="60" w:before="144" w:afterLines="60" w:after="144"/>
      </w:pPr>
      <w:r>
        <w:t xml:space="preserve">FEMA is </w:t>
      </w:r>
      <w:r w:rsidRPr="00BE20B3">
        <w:t>not seeking unsubstantiated opinions. All updated threats, hazards and findings which differ from the 2011 SNRA must be supported by quantitative data, qualitative data, or multiple subject matter expert statements supporting those opinions</w:t>
      </w:r>
      <w:r w:rsidR="00305FA6">
        <w:t>.</w:t>
      </w:r>
    </w:p>
    <w:p w14:paraId="758A7F17" w14:textId="535B7CB9" w:rsidR="00305FA6" w:rsidRPr="00131AD5" w:rsidRDefault="00601A0A" w:rsidP="005D2E36">
      <w:pPr>
        <w:pStyle w:val="Bullet1"/>
        <w:numPr>
          <w:ilvl w:val="0"/>
          <w:numId w:val="25"/>
        </w:numPr>
        <w:spacing w:beforeLines="60" w:before="144" w:afterLines="60" w:after="144"/>
      </w:pPr>
      <w:r>
        <w:t xml:space="preserve">The CLASSIFIED components to the SNRA are handled through a separate but coordinated process. Related questions can be sent to: </w:t>
      </w:r>
      <w:hyperlink r:id="rId9" w:history="1">
        <w:r w:rsidRPr="002232E0">
          <w:rPr>
            <w:rStyle w:val="Hyperlink"/>
            <w:rFonts w:ascii="Times New Roman" w:hAnsi="Times New Roman"/>
            <w:szCs w:val="24"/>
          </w:rPr>
          <w:t>PPD8-NationalPreparedness@fema.dhs.gov</w:t>
        </w:r>
      </w:hyperlink>
      <w:r>
        <w:t xml:space="preserve">. Do not send classified content to this email address. </w:t>
      </w:r>
    </w:p>
    <w:p w14:paraId="4DA0B496" w14:textId="78DC2E4C" w:rsidR="00BE20B3" w:rsidRDefault="00BE20B3" w:rsidP="005D2E36">
      <w:pPr>
        <w:pStyle w:val="Heading1"/>
        <w:spacing w:beforeLines="60" w:before="144" w:afterLines="60" w:after="144"/>
        <w:rPr>
          <w:rFonts w:cstheme="majorHAnsi"/>
        </w:rPr>
      </w:pPr>
      <w:r>
        <w:rPr>
          <w:rFonts w:cstheme="majorHAnsi"/>
        </w:rPr>
        <w:t xml:space="preserve">Questions to </w:t>
      </w:r>
      <w:r w:rsidR="00A62577">
        <w:rPr>
          <w:rFonts w:cstheme="majorHAnsi"/>
        </w:rPr>
        <w:t>consider while</w:t>
      </w:r>
      <w:r>
        <w:rPr>
          <w:rFonts w:cstheme="majorHAnsi"/>
        </w:rPr>
        <w:t xml:space="preserve"> review</w:t>
      </w:r>
      <w:r w:rsidR="00A62577">
        <w:rPr>
          <w:rFonts w:cstheme="majorHAnsi"/>
        </w:rPr>
        <w:t>ing</w:t>
      </w:r>
      <w:r>
        <w:rPr>
          <w:rFonts w:cstheme="majorHAnsi"/>
        </w:rPr>
        <w:t xml:space="preserve"> the 2011 SNRA Summary Document</w:t>
      </w:r>
    </w:p>
    <w:p w14:paraId="6AFDD651" w14:textId="7EFA5A5F" w:rsidR="00BE20B3" w:rsidRPr="00BE20B3" w:rsidRDefault="00BE20B3" w:rsidP="005D2E36">
      <w:pPr>
        <w:numPr>
          <w:ilvl w:val="0"/>
          <w:numId w:val="21"/>
        </w:numPr>
        <w:spacing w:beforeLines="60" w:before="144" w:afterLines="60" w:after="144"/>
      </w:pPr>
      <w:r w:rsidRPr="00BE20B3">
        <w:t xml:space="preserve">Do you have data to verify/back-up your position that the </w:t>
      </w:r>
      <w:r w:rsidR="00824804" w:rsidRPr="00BE20B3">
        <w:t>high-level</w:t>
      </w:r>
      <w:r w:rsidRPr="00BE20B3">
        <w:t xml:space="preserve"> findings from the 2011 SNRA summary should be updated?</w:t>
      </w:r>
    </w:p>
    <w:p w14:paraId="2713C575" w14:textId="77777777" w:rsidR="00BE20B3" w:rsidRPr="00BE20B3" w:rsidRDefault="00BE20B3" w:rsidP="005D2E36">
      <w:pPr>
        <w:numPr>
          <w:ilvl w:val="1"/>
          <w:numId w:val="21"/>
        </w:numPr>
        <w:spacing w:beforeLines="60" w:before="144" w:afterLines="60" w:after="144"/>
        <w:ind w:left="1080"/>
      </w:pPr>
      <w:r w:rsidRPr="00BE20B3">
        <w:t xml:space="preserve">If so, would the data </w:t>
      </w:r>
      <w:r w:rsidRPr="00BE20B3">
        <w:rPr>
          <w:b/>
        </w:rPr>
        <w:t>change</w:t>
      </w:r>
      <w:r w:rsidRPr="00BE20B3">
        <w:t xml:space="preserve"> the December 2011 publicly disseminated findings </w:t>
      </w:r>
      <w:r w:rsidRPr="00BE20B3">
        <w:rPr>
          <w:b/>
        </w:rPr>
        <w:t>as they are written?</w:t>
      </w:r>
    </w:p>
    <w:p w14:paraId="3C8ADFDD" w14:textId="77777777" w:rsidR="00BE20B3" w:rsidRPr="00BE20B3" w:rsidRDefault="00BE20B3" w:rsidP="005D2E36">
      <w:pPr>
        <w:numPr>
          <w:ilvl w:val="1"/>
          <w:numId w:val="21"/>
        </w:numPr>
        <w:spacing w:beforeLines="60" w:before="144" w:afterLines="60" w:after="144"/>
        <w:ind w:left="1080"/>
      </w:pPr>
      <w:r w:rsidRPr="00BE20B3">
        <w:t>If so, are you able to share your data? (A classified annex is available for classified information.)</w:t>
      </w:r>
    </w:p>
    <w:p w14:paraId="4BA5B98C" w14:textId="77777777" w:rsidR="00031146" w:rsidRDefault="00BE20B3" w:rsidP="005D2E36">
      <w:pPr>
        <w:numPr>
          <w:ilvl w:val="1"/>
          <w:numId w:val="21"/>
        </w:numPr>
        <w:spacing w:beforeLines="60" w:before="144" w:afterLines="60" w:after="144"/>
        <w:ind w:left="1080"/>
      </w:pPr>
      <w:r w:rsidRPr="00BE20B3">
        <w:t xml:space="preserve">If your data are quantitative, do they meet the same standards as the data in the 2011 SNRA?  </w:t>
      </w:r>
    </w:p>
    <w:p w14:paraId="36BAEA44" w14:textId="2FCC1DC8" w:rsidR="00BE20B3" w:rsidRPr="00BE20B3" w:rsidRDefault="00BE20B3" w:rsidP="005D2E36">
      <w:pPr>
        <w:numPr>
          <w:ilvl w:val="1"/>
          <w:numId w:val="21"/>
        </w:numPr>
        <w:spacing w:beforeLines="60" w:before="144" w:afterLines="60" w:after="144"/>
        <w:ind w:left="1080"/>
      </w:pPr>
      <w:r w:rsidRPr="00BE20B3">
        <w:t xml:space="preserve">If your data are qualitative, are they sourced and documented to the standards outlined </w:t>
      </w:r>
      <w:r>
        <w:t xml:space="preserve">in the </w:t>
      </w:r>
      <w:r w:rsidRPr="00BE20B3">
        <w:t xml:space="preserve">Qualitative Data </w:t>
      </w:r>
      <w:r>
        <w:t>Instructions</w:t>
      </w:r>
      <w:r w:rsidRPr="00BE20B3">
        <w:t>?</w:t>
      </w:r>
    </w:p>
    <w:p w14:paraId="3BBA0965" w14:textId="77777777" w:rsidR="00BE20B3" w:rsidRDefault="00BE20B3" w:rsidP="005D2E36">
      <w:pPr>
        <w:numPr>
          <w:ilvl w:val="1"/>
          <w:numId w:val="21"/>
        </w:numPr>
        <w:spacing w:beforeLines="60" w:before="144" w:afterLines="60" w:after="144"/>
        <w:ind w:left="1080"/>
      </w:pPr>
      <w:r w:rsidRPr="00BE20B3">
        <w:t>Does your data represent national-level risk, as opposed to sector-specific or regional risk?</w:t>
      </w:r>
    </w:p>
    <w:p w14:paraId="68BA0CE7" w14:textId="0C4D415B" w:rsidR="00BE20B3" w:rsidRPr="00BE20B3" w:rsidRDefault="00BE20B3" w:rsidP="005D2E36">
      <w:pPr>
        <w:keepNext/>
        <w:keepLines/>
        <w:spacing w:beforeLines="60" w:before="144" w:afterLines="60" w:after="144"/>
        <w:outlineLvl w:val="1"/>
        <w:rPr>
          <w:rFonts w:asciiTheme="majorHAnsi" w:eastAsiaTheme="majorEastAsia" w:hAnsiTheme="majorHAnsi" w:cstheme="majorBidi"/>
          <w:b/>
          <w:bCs/>
          <w:i/>
          <w:color w:val="002F80" w:themeColor="text2"/>
          <w:sz w:val="28"/>
          <w:szCs w:val="26"/>
        </w:rPr>
      </w:pPr>
      <w:r>
        <w:rPr>
          <w:rFonts w:asciiTheme="majorHAnsi" w:eastAsiaTheme="majorEastAsia" w:hAnsiTheme="majorHAnsi" w:cstheme="majorBidi"/>
          <w:b/>
          <w:bCs/>
          <w:color w:val="002F80" w:themeColor="text2"/>
          <w:sz w:val="28"/>
          <w:szCs w:val="26"/>
        </w:rPr>
        <w:lastRenderedPageBreak/>
        <w:t xml:space="preserve">Submitting data to update the SNRA </w:t>
      </w:r>
    </w:p>
    <w:p w14:paraId="6B074799" w14:textId="7B9D4446" w:rsidR="00BE20B3" w:rsidRPr="00BE20B3" w:rsidRDefault="00BE20B3" w:rsidP="005D2E36">
      <w:pPr>
        <w:spacing w:beforeLines="60" w:before="144" w:afterLines="60" w:after="144"/>
      </w:pPr>
      <w:r w:rsidRPr="00BE20B3">
        <w:t>If</w:t>
      </w:r>
      <w:r>
        <w:t xml:space="preserve"> you have data that should update the findings and/or list of threats and hazards in the 2011 SNRA summary document</w:t>
      </w:r>
      <w:r w:rsidRPr="00BE20B3">
        <w:t xml:space="preserve">, please send your </w:t>
      </w:r>
      <w:r>
        <w:t xml:space="preserve">data </w:t>
      </w:r>
      <w:r w:rsidRPr="00BE20B3">
        <w:t xml:space="preserve">in a format suitable for </w:t>
      </w:r>
      <w:r w:rsidR="00EF47BD">
        <w:t xml:space="preserve">integration into the SNRA development, </w:t>
      </w:r>
      <w:r w:rsidR="00277C2A">
        <w:t>as explained below</w:t>
      </w:r>
      <w:r w:rsidR="00EF47BD">
        <w:t xml:space="preserve"> and in supporting guidance (as referenced)</w:t>
      </w:r>
      <w:r w:rsidR="00277C2A">
        <w:t xml:space="preserve">. </w:t>
      </w:r>
      <w:r w:rsidRPr="00BE20B3">
        <w:t xml:space="preserve"> </w:t>
      </w:r>
    </w:p>
    <w:p w14:paraId="7FE12465" w14:textId="7BCC457E" w:rsidR="00BE20B3" w:rsidRPr="00BE20B3" w:rsidRDefault="00EF47BD" w:rsidP="005D2E36">
      <w:pPr>
        <w:pStyle w:val="Appendix2"/>
        <w:spacing w:beforeLines="60" w:before="144" w:afterLines="60" w:after="144"/>
      </w:pPr>
      <w:r>
        <w:t>S</w:t>
      </w:r>
      <w:r w:rsidR="00BE20B3" w:rsidRPr="00BE20B3">
        <w:t xml:space="preserve">ubmitting </w:t>
      </w:r>
      <w:r w:rsidR="00BE20B3" w:rsidRPr="00BE20B3">
        <w:rPr>
          <w:u w:val="single"/>
        </w:rPr>
        <w:t>quantitative</w:t>
      </w:r>
      <w:r w:rsidR="00BE20B3" w:rsidRPr="00BE20B3">
        <w:t xml:space="preserve"> data</w:t>
      </w:r>
    </w:p>
    <w:p w14:paraId="5F926A75" w14:textId="69805970" w:rsidR="00031146" w:rsidRDefault="00CD54B5" w:rsidP="005D2E36">
      <w:pPr>
        <w:spacing w:beforeLines="60" w:before="144" w:afterLines="60" w:after="144"/>
      </w:pPr>
      <w:r>
        <w:t>Reference</w:t>
      </w:r>
      <w:r w:rsidR="00BE20B3" w:rsidRPr="00BE20B3">
        <w:t xml:space="preserve"> </w:t>
      </w:r>
      <w:r w:rsidR="00277C2A">
        <w:t xml:space="preserve">the </w:t>
      </w:r>
      <w:r w:rsidR="00031146">
        <w:t>document titled</w:t>
      </w:r>
      <w:r w:rsidR="00C144A1">
        <w:t>,</w:t>
      </w:r>
      <w:r w:rsidR="00277C2A">
        <w:t xml:space="preserve"> “</w:t>
      </w:r>
      <w:r w:rsidR="00AF1D0F" w:rsidRPr="00AF1D0F">
        <w:t>SNRA 2015 Risk Summary Sheet Instructions and Template</w:t>
      </w:r>
      <w:r w:rsidR="00277C2A">
        <w:t>” for instructions</w:t>
      </w:r>
      <w:r w:rsidR="0009096D">
        <w:t xml:space="preserve"> on</w:t>
      </w:r>
      <w:r w:rsidR="00277C2A">
        <w:t xml:space="preserve"> how to w</w:t>
      </w:r>
      <w:r w:rsidR="00BE20B3" w:rsidRPr="00BE20B3">
        <w:t>rite an SNRA Risk Summary Sheet</w:t>
      </w:r>
      <w:r w:rsidR="00277C2A">
        <w:t xml:space="preserve">, and the minimal </w:t>
      </w:r>
      <w:r w:rsidR="00BE20B3" w:rsidRPr="00BE20B3">
        <w:t>technical and documentary requirements for qua</w:t>
      </w:r>
      <w:r w:rsidR="00031146">
        <w:t>nt</w:t>
      </w:r>
      <w:r w:rsidR="00BE20B3" w:rsidRPr="00BE20B3">
        <w:t>itative analysis in the SNRA.</w:t>
      </w:r>
      <w:r w:rsidR="00C144A1">
        <w:t xml:space="preserve"> </w:t>
      </w:r>
      <w:r w:rsidR="00896FF1" w:rsidRPr="00BE20B3">
        <w:t xml:space="preserve">All new or updated </w:t>
      </w:r>
      <w:r w:rsidR="00896FF1" w:rsidRPr="00824804">
        <w:rPr>
          <w:b/>
        </w:rPr>
        <w:t>quantitative</w:t>
      </w:r>
      <w:r w:rsidR="00896FF1" w:rsidRPr="00824804">
        <w:t xml:space="preserve"> </w:t>
      </w:r>
      <w:r w:rsidR="00896FF1" w:rsidRPr="00BE20B3">
        <w:t xml:space="preserve">data submitted by </w:t>
      </w:r>
      <w:r w:rsidR="00C144A1">
        <w:t>stakeholders</w:t>
      </w:r>
      <w:r w:rsidR="00896FF1" w:rsidRPr="00BE20B3">
        <w:t xml:space="preserve"> in the 2015 review </w:t>
      </w:r>
      <w:r w:rsidR="00C144A1">
        <w:t>should</w:t>
      </w:r>
      <w:r w:rsidR="00896FF1" w:rsidRPr="00BE20B3">
        <w:t xml:space="preserve"> </w:t>
      </w:r>
      <w:r w:rsidR="00C144A1">
        <w:t>align with the formatting guidance provided in the “</w:t>
      </w:r>
      <w:r w:rsidR="00C144A1" w:rsidRPr="00AF1D0F">
        <w:t>SNRA 2015 Risk Summary Sheet Instructions and Template</w:t>
      </w:r>
      <w:r w:rsidR="00C144A1">
        <w:t>”.</w:t>
      </w:r>
      <w:r w:rsidR="00896FF1" w:rsidRPr="00BE20B3">
        <w:t xml:space="preserve"> </w:t>
      </w:r>
    </w:p>
    <w:p w14:paraId="3270786A" w14:textId="7F8534C6" w:rsidR="00031146" w:rsidRPr="00BE20B3" w:rsidRDefault="00EF47BD" w:rsidP="00031146">
      <w:pPr>
        <w:pStyle w:val="Appendix2"/>
      </w:pPr>
      <w:r>
        <w:t>S</w:t>
      </w:r>
      <w:r w:rsidR="00031146" w:rsidRPr="00BE20B3">
        <w:t xml:space="preserve">ubmitting </w:t>
      </w:r>
      <w:r w:rsidR="00031146" w:rsidRPr="00BE20B3">
        <w:rPr>
          <w:u w:val="single"/>
        </w:rPr>
        <w:t>quali</w:t>
      </w:r>
      <w:r w:rsidR="00031146">
        <w:rPr>
          <w:u w:val="single"/>
        </w:rPr>
        <w:t>t</w:t>
      </w:r>
      <w:r w:rsidR="00031146" w:rsidRPr="00BE20B3">
        <w:rPr>
          <w:u w:val="single"/>
        </w:rPr>
        <w:t>ative</w:t>
      </w:r>
      <w:r w:rsidR="00031146" w:rsidRPr="00BE20B3">
        <w:t xml:space="preserve"> data</w:t>
      </w:r>
    </w:p>
    <w:p w14:paraId="316D9AB3" w14:textId="40390B54" w:rsidR="00BE20B3" w:rsidRDefault="00BE20B3" w:rsidP="005D2E36">
      <w:pPr>
        <w:spacing w:beforeLines="60" w:before="144" w:afterLines="60" w:after="144"/>
      </w:pPr>
      <w:r w:rsidRPr="00BE20B3">
        <w:t xml:space="preserve">See </w:t>
      </w:r>
      <w:r w:rsidR="00277C2A">
        <w:t xml:space="preserve">the </w:t>
      </w:r>
      <w:r w:rsidR="00031146">
        <w:t>document titled</w:t>
      </w:r>
      <w:r w:rsidR="00277C2A">
        <w:t xml:space="preserve">, “SNRA 2015 </w:t>
      </w:r>
      <w:r w:rsidRPr="00BE20B3">
        <w:t xml:space="preserve">Qualitative Data </w:t>
      </w:r>
      <w:r w:rsidR="00277C2A">
        <w:t>Instructions”, which</w:t>
      </w:r>
      <w:r w:rsidRPr="00BE20B3">
        <w:t xml:space="preserve"> </w:t>
      </w:r>
      <w:r w:rsidR="00277C2A">
        <w:t xml:space="preserve">includes qualitative data requirements, instructions, and a template for accomplishing a concise literature review. </w:t>
      </w:r>
    </w:p>
    <w:p w14:paraId="600747CD" w14:textId="5A12C668" w:rsidR="00031146" w:rsidRPr="00A3217D" w:rsidRDefault="00896FF1" w:rsidP="00317AC2">
      <w:pPr>
        <w:pStyle w:val="Bullet2"/>
        <w:spacing w:beforeLines="60" w:before="144" w:afterLines="60" w:after="144"/>
      </w:pPr>
      <w:r w:rsidRPr="00BE20B3">
        <w:t xml:space="preserve">Risks identified and analyzed based on </w:t>
      </w:r>
      <w:r w:rsidRPr="00BE20B3">
        <w:rPr>
          <w:b/>
        </w:rPr>
        <w:t>qualitative</w:t>
      </w:r>
      <w:r w:rsidRPr="00BE20B3">
        <w:t xml:space="preserve"> data </w:t>
      </w:r>
      <w:r>
        <w:t xml:space="preserve">may also </w:t>
      </w:r>
      <w:r w:rsidRPr="00BE20B3">
        <w:t>be presented in the text of the summary document</w:t>
      </w:r>
      <w:r>
        <w:t xml:space="preserve">. </w:t>
      </w:r>
      <w:r w:rsidRPr="00BE20B3">
        <w:t xml:space="preserve">All data, information, and sources provided and/or used for the review and update of the publicly disseminated </w:t>
      </w:r>
      <w:r>
        <w:t xml:space="preserve">SNRA summary </w:t>
      </w:r>
      <w:r w:rsidRPr="00BE20B3">
        <w:t>are subject to public and/or peer review.</w:t>
      </w:r>
      <w:r w:rsidRPr="00BE20B3">
        <w:rPr>
          <w:vertAlign w:val="superscript"/>
        </w:rPr>
        <w:t xml:space="preserve"> </w:t>
      </w:r>
      <w:bookmarkEnd w:id="0"/>
      <w:r w:rsidR="00031146">
        <w:t xml:space="preserve">The qualitative data requirements below explain what is needed in order for qualitative data submissions to be usable in the updated SNRA summary document. </w:t>
      </w:r>
      <w:r w:rsidR="00317AC2">
        <w:t xml:space="preserve">Specifically, </w:t>
      </w:r>
      <w:r w:rsidR="00EF47BD">
        <w:t xml:space="preserve">the Qualitative Risk Package includes: </w:t>
      </w:r>
      <w:r w:rsidR="00317AC2">
        <w:t xml:space="preserve">a synopsis, literature review, and source materials </w:t>
      </w:r>
      <w:r w:rsidR="00317AC2" w:rsidRPr="007134F3">
        <w:rPr>
          <w:rFonts w:eastAsiaTheme="minorEastAsia"/>
        </w:rPr>
        <w:t>(either physical or electronic copies).</w:t>
      </w:r>
      <w:r w:rsidR="00317AC2">
        <w:t xml:space="preserve"> </w:t>
      </w:r>
      <w:r w:rsidR="00031146">
        <w:t xml:space="preserve"> </w:t>
      </w:r>
    </w:p>
    <w:p w14:paraId="33720CEE" w14:textId="5FD173AB" w:rsidR="00031146" w:rsidRPr="00EF47BD" w:rsidRDefault="00031146" w:rsidP="00EF47BD">
      <w:pPr>
        <w:pStyle w:val="Bullet2"/>
        <w:spacing w:beforeLines="60" w:before="144" w:afterLines="60" w:after="144"/>
      </w:pPr>
      <w:r w:rsidRPr="00EF47BD">
        <w:rPr>
          <w:b/>
        </w:rPr>
        <w:t>Synopsis</w:t>
      </w:r>
      <w:r w:rsidR="00317AC2" w:rsidRPr="00EF47BD">
        <w:t xml:space="preserve">: </w:t>
      </w:r>
      <w:r w:rsidRPr="00EF47BD">
        <w:t>Provide a synopsis of all your sources and the assessment based on your literature review in 150-words or less. Ensure that you cite sources of information using footnotes.</w:t>
      </w:r>
    </w:p>
    <w:p w14:paraId="3966CA7F" w14:textId="628EFCE0" w:rsidR="00031146" w:rsidRPr="00EF47BD" w:rsidRDefault="00031146" w:rsidP="00EF47BD">
      <w:pPr>
        <w:pStyle w:val="Bullet2"/>
        <w:spacing w:beforeLines="60" w:before="144" w:afterLines="60" w:after="144"/>
        <w:rPr>
          <w:b/>
        </w:rPr>
      </w:pPr>
      <w:r w:rsidRPr="00EF47BD">
        <w:rPr>
          <w:b/>
        </w:rPr>
        <w:t>Literature Review</w:t>
      </w:r>
      <w:r w:rsidR="00EF47BD">
        <w:t>:</w:t>
      </w:r>
      <w:r w:rsidR="00EF47BD">
        <w:rPr>
          <w:b/>
        </w:rPr>
        <w:t xml:space="preserve"> </w:t>
      </w:r>
      <w:r w:rsidR="00EF47BD" w:rsidRPr="00EF47BD">
        <w:rPr>
          <w:rFonts w:eastAsiaTheme="minorEastAsia"/>
          <w:color w:val="000000"/>
        </w:rPr>
        <w:t xml:space="preserve">The </w:t>
      </w:r>
      <w:r w:rsidR="00EF47BD">
        <w:rPr>
          <w:rFonts w:eastAsiaTheme="minorEastAsia"/>
          <w:color w:val="000000"/>
        </w:rPr>
        <w:t>Literature Review s</w:t>
      </w:r>
      <w:r w:rsidR="00EF47BD" w:rsidRPr="000B4767">
        <w:rPr>
          <w:rFonts w:eastAsiaTheme="minorEastAsia"/>
          <w:color w:val="000000"/>
        </w:rPr>
        <w:t xml:space="preserve">hould follow the </w:t>
      </w:r>
      <w:r w:rsidR="00EF47BD">
        <w:rPr>
          <w:rFonts w:eastAsiaTheme="minorEastAsia"/>
          <w:color w:val="000000"/>
        </w:rPr>
        <w:t>t</w:t>
      </w:r>
      <w:r w:rsidR="00EF47BD" w:rsidRPr="000B4767">
        <w:rPr>
          <w:rFonts w:eastAsiaTheme="minorEastAsia"/>
          <w:color w:val="000000"/>
        </w:rPr>
        <w:t>emplate</w:t>
      </w:r>
      <w:r w:rsidR="00EF47BD">
        <w:rPr>
          <w:rFonts w:eastAsiaTheme="minorEastAsia"/>
          <w:color w:val="000000"/>
        </w:rPr>
        <w:t xml:space="preserve"> provided</w:t>
      </w:r>
      <w:r w:rsidR="00E703D7">
        <w:rPr>
          <w:rFonts w:eastAsiaTheme="minorEastAsia"/>
          <w:color w:val="000000"/>
        </w:rPr>
        <w:t xml:space="preserve">. Source material </w:t>
      </w:r>
      <w:r w:rsidR="00E703D7" w:rsidRPr="007134F3">
        <w:rPr>
          <w:rFonts w:eastAsiaTheme="minorEastAsia"/>
          <w:color w:val="000000"/>
        </w:rPr>
        <w:t>should meet the following criteria</w:t>
      </w:r>
      <w:r w:rsidR="00E703D7">
        <w:rPr>
          <w:rFonts w:eastAsiaTheme="minorEastAsia"/>
          <w:color w:val="000000"/>
        </w:rPr>
        <w:t>:</w:t>
      </w:r>
    </w:p>
    <w:p w14:paraId="5B9C2426" w14:textId="77777777" w:rsidR="00031146" w:rsidRPr="007134F3" w:rsidRDefault="00031146" w:rsidP="00F4078A">
      <w:pPr>
        <w:pStyle w:val="Bullet2"/>
        <w:numPr>
          <w:ilvl w:val="1"/>
          <w:numId w:val="27"/>
        </w:numPr>
        <w:spacing w:after="60"/>
        <w:ind w:left="1080"/>
        <w:rPr>
          <w:rFonts w:eastAsia="Times New Roman"/>
        </w:rPr>
      </w:pPr>
      <w:r>
        <w:rPr>
          <w:rFonts w:eastAsia="Times New Roman"/>
        </w:rPr>
        <w:t>Should include 5 sources for each major topic area (i.e. fatality estimates from a tornado).</w:t>
      </w:r>
    </w:p>
    <w:p w14:paraId="10239A1A" w14:textId="77777777" w:rsidR="00031146" w:rsidRPr="00735EAF" w:rsidRDefault="00031146" w:rsidP="00F4078A">
      <w:pPr>
        <w:pStyle w:val="Bullet2"/>
        <w:numPr>
          <w:ilvl w:val="1"/>
          <w:numId w:val="27"/>
        </w:numPr>
        <w:spacing w:after="60"/>
        <w:ind w:left="1080"/>
        <w:rPr>
          <w:rFonts w:eastAsia="Times New Roman"/>
        </w:rPr>
      </w:pPr>
      <w:r w:rsidRPr="00735EAF">
        <w:rPr>
          <w:rFonts w:eastAsiaTheme="minorEastAsia"/>
        </w:rPr>
        <w:t>Peer reviewed academic journals provide the best source for objective information.</w:t>
      </w:r>
    </w:p>
    <w:p w14:paraId="40DB982F" w14:textId="77777777" w:rsidR="00031146" w:rsidRPr="00E562B0" w:rsidRDefault="00031146" w:rsidP="00F4078A">
      <w:pPr>
        <w:pStyle w:val="Bullet2"/>
        <w:numPr>
          <w:ilvl w:val="1"/>
          <w:numId w:val="27"/>
        </w:numPr>
        <w:spacing w:after="60"/>
        <w:ind w:left="1080"/>
        <w:rPr>
          <w:rFonts w:eastAsia="Times New Roman"/>
        </w:rPr>
      </w:pPr>
      <w:r w:rsidRPr="00E562B0">
        <w:rPr>
          <w:rFonts w:eastAsiaTheme="minorEastAsia"/>
        </w:rPr>
        <w:t>Government documents provide a good source for information.</w:t>
      </w:r>
    </w:p>
    <w:p w14:paraId="436A1A84" w14:textId="77777777" w:rsidR="00031146" w:rsidRPr="00E562B0" w:rsidRDefault="00031146" w:rsidP="00F4078A">
      <w:pPr>
        <w:pStyle w:val="Bullet2"/>
        <w:numPr>
          <w:ilvl w:val="1"/>
          <w:numId w:val="27"/>
        </w:numPr>
        <w:spacing w:after="60"/>
        <w:ind w:left="1080"/>
        <w:rPr>
          <w:rFonts w:eastAsia="Times New Roman"/>
        </w:rPr>
      </w:pPr>
      <w:r w:rsidRPr="00E562B0">
        <w:rPr>
          <w:rFonts w:eastAsiaTheme="minorEastAsia"/>
        </w:rPr>
        <w:t>Trade journals provide an acceptable source of information, but the information is typically subjective.</w:t>
      </w:r>
    </w:p>
    <w:p w14:paraId="588812D1" w14:textId="77777777" w:rsidR="00031146" w:rsidRPr="005F171E" w:rsidRDefault="00031146" w:rsidP="00F4078A">
      <w:pPr>
        <w:pStyle w:val="Bullet2"/>
        <w:numPr>
          <w:ilvl w:val="1"/>
          <w:numId w:val="27"/>
        </w:numPr>
        <w:spacing w:after="60"/>
        <w:ind w:left="1080"/>
        <w:rPr>
          <w:rFonts w:eastAsia="Times New Roman"/>
        </w:rPr>
      </w:pPr>
      <w:r w:rsidRPr="00E562B0">
        <w:rPr>
          <w:rFonts w:eastAsiaTheme="minorEastAsia"/>
        </w:rPr>
        <w:t>Source should be less than 5-years old. Sources over 5-years old could provide information that is no longer valid or relevant.</w:t>
      </w:r>
    </w:p>
    <w:p w14:paraId="27F48778" w14:textId="268A3E71" w:rsidR="00BE20B3" w:rsidRDefault="00E703D7" w:rsidP="00E703D7">
      <w:pPr>
        <w:pStyle w:val="Bullet1"/>
        <w:rPr>
          <w:rFonts w:eastAsiaTheme="minorEastAsia"/>
        </w:rPr>
      </w:pPr>
      <w:r w:rsidRPr="00E703D7">
        <w:rPr>
          <w:rFonts w:eastAsiaTheme="minorEastAsia"/>
          <w:b/>
          <w:color w:val="000000"/>
        </w:rPr>
        <w:t>Source material</w:t>
      </w:r>
      <w:r w:rsidRPr="00E703D7">
        <w:rPr>
          <w:rFonts w:eastAsiaTheme="minorEastAsia"/>
          <w:color w:val="000000"/>
        </w:rPr>
        <w:t>:</w:t>
      </w:r>
      <w:r>
        <w:rPr>
          <w:rFonts w:eastAsiaTheme="minorEastAsia"/>
          <w:color w:val="000000"/>
        </w:rPr>
        <w:t xml:space="preserve"> Submitted as </w:t>
      </w:r>
      <w:r w:rsidRPr="007134F3">
        <w:rPr>
          <w:rFonts w:eastAsiaTheme="minorEastAsia"/>
        </w:rPr>
        <w:t>either physical or electronic copies.</w:t>
      </w:r>
    </w:p>
    <w:p w14:paraId="3E6F920A" w14:textId="77777777" w:rsidR="00F4078A" w:rsidRPr="00BE20B3" w:rsidRDefault="00F4078A" w:rsidP="00F4078A">
      <w:pPr>
        <w:keepNext/>
        <w:keepLines/>
        <w:spacing w:beforeLines="60" w:before="144" w:afterLines="60" w:after="144"/>
        <w:ind w:left="432" w:hanging="432"/>
        <w:outlineLvl w:val="1"/>
        <w:rPr>
          <w:rFonts w:asciiTheme="majorHAnsi" w:eastAsiaTheme="majorEastAsia" w:hAnsiTheme="majorHAnsi" w:cstheme="majorBidi"/>
          <w:b/>
          <w:bCs/>
          <w:i/>
          <w:color w:val="002F80" w:themeColor="text2"/>
          <w:sz w:val="28"/>
          <w:szCs w:val="26"/>
        </w:rPr>
      </w:pPr>
      <w:r>
        <w:rPr>
          <w:rFonts w:asciiTheme="majorHAnsi" w:eastAsiaTheme="majorEastAsia" w:hAnsiTheme="majorHAnsi" w:cstheme="majorBidi"/>
          <w:b/>
          <w:bCs/>
          <w:color w:val="002F80" w:themeColor="text2"/>
          <w:sz w:val="28"/>
          <w:szCs w:val="26"/>
        </w:rPr>
        <w:t xml:space="preserve">Department and Agency Action Items </w:t>
      </w:r>
    </w:p>
    <w:p w14:paraId="594261D2" w14:textId="77777777" w:rsidR="00F4078A" w:rsidRDefault="00F4078A" w:rsidP="00F4078A">
      <w:pPr>
        <w:numPr>
          <w:ilvl w:val="0"/>
          <w:numId w:val="22"/>
        </w:numPr>
        <w:spacing w:beforeLines="60" w:before="144" w:afterLines="60" w:after="144"/>
      </w:pPr>
      <w:r>
        <w:t>S</w:t>
      </w:r>
      <w:r w:rsidRPr="00BE20B3">
        <w:t xml:space="preserve">end </w:t>
      </w:r>
      <w:r>
        <w:t>your Department/Agency SNRA point of contact information (</w:t>
      </w:r>
      <w:r w:rsidRPr="00BE20B3">
        <w:t>name</w:t>
      </w:r>
      <w:r>
        <w:t xml:space="preserve">[s], title, Branch/Unit/Division, Department/Agency, email address, and phone number) to the National Integration Center at: </w:t>
      </w:r>
      <w:hyperlink r:id="rId10" w:history="1">
        <w:r>
          <w:rPr>
            <w:rStyle w:val="Hyperlink"/>
            <w:rFonts w:ascii="Times New Roman" w:hAnsi="Times New Roman"/>
            <w:szCs w:val="24"/>
          </w:rPr>
          <w:t>PPD8-NationalPreparedness@fema.dhs.gov</w:t>
        </w:r>
      </w:hyperlink>
      <w:r>
        <w:rPr>
          <w:rFonts w:ascii="Times New Roman" w:hAnsi="Times New Roman"/>
          <w:szCs w:val="24"/>
        </w:rPr>
        <w:t xml:space="preserve"> by</w:t>
      </w:r>
      <w:r>
        <w:rPr>
          <w:rFonts w:ascii="Times New Roman" w:hAnsi="Times New Roman"/>
          <w:b/>
          <w:bCs/>
          <w:szCs w:val="24"/>
        </w:rPr>
        <w:t xml:space="preserve"> Friday, February 13</w:t>
      </w:r>
      <w:r>
        <w:rPr>
          <w:rFonts w:ascii="Times New Roman" w:hAnsi="Times New Roman"/>
          <w:b/>
          <w:bCs/>
          <w:szCs w:val="24"/>
          <w:vertAlign w:val="superscript"/>
        </w:rPr>
        <w:t>th</w:t>
      </w:r>
      <w:r>
        <w:rPr>
          <w:rFonts w:ascii="Times New Roman" w:hAnsi="Times New Roman"/>
          <w:b/>
          <w:bCs/>
          <w:szCs w:val="24"/>
        </w:rPr>
        <w:t>, 2015.</w:t>
      </w:r>
    </w:p>
    <w:p w14:paraId="77923105" w14:textId="19AEBF46" w:rsidR="00F4078A" w:rsidRPr="00BE20B3" w:rsidRDefault="00F4078A" w:rsidP="00E703D7">
      <w:pPr>
        <w:numPr>
          <w:ilvl w:val="0"/>
          <w:numId w:val="22"/>
        </w:numPr>
        <w:spacing w:beforeLines="60" w:before="144" w:afterLines="60" w:after="144"/>
      </w:pPr>
      <w:r>
        <w:t xml:space="preserve">Submit all </w:t>
      </w:r>
      <w:r w:rsidRPr="00F4078A">
        <w:rPr>
          <w:b/>
        </w:rPr>
        <w:t>UNCLASSIFIED</w:t>
      </w:r>
      <w:r>
        <w:t xml:space="preserve"> input, including</w:t>
      </w:r>
      <w:r w:rsidRPr="00BE20B3">
        <w:t xml:space="preserve"> completed risk summary sheet(s) </w:t>
      </w:r>
      <w:r>
        <w:t>and/</w:t>
      </w:r>
      <w:r w:rsidRPr="00BE20B3">
        <w:t xml:space="preserve">or </w:t>
      </w:r>
      <w:r>
        <w:t xml:space="preserve">qualitative </w:t>
      </w:r>
      <w:r w:rsidRPr="00BE20B3">
        <w:t xml:space="preserve">data to </w:t>
      </w:r>
      <w:hyperlink r:id="rId11" w:history="1">
        <w:r w:rsidRPr="00F4078A">
          <w:rPr>
            <w:rStyle w:val="Hyperlink"/>
            <w:rFonts w:ascii="Times New Roman" w:hAnsi="Times New Roman"/>
            <w:szCs w:val="24"/>
          </w:rPr>
          <w:t>PPD8-NationalPreparedness@fema.dhs.gov</w:t>
        </w:r>
      </w:hyperlink>
      <w:r w:rsidRPr="00F4078A">
        <w:rPr>
          <w:rFonts w:ascii="Times New Roman" w:hAnsi="Times New Roman"/>
          <w:szCs w:val="24"/>
        </w:rPr>
        <w:t xml:space="preserve"> </w:t>
      </w:r>
      <w:r>
        <w:t xml:space="preserve">no later than </w:t>
      </w:r>
      <w:r w:rsidR="001F25A2">
        <w:rPr>
          <w:b/>
        </w:rPr>
        <w:t>March 5</w:t>
      </w:r>
      <w:r w:rsidRPr="00F4078A">
        <w:rPr>
          <w:b/>
          <w:vertAlign w:val="superscript"/>
        </w:rPr>
        <w:t>th</w:t>
      </w:r>
      <w:r w:rsidRPr="00F4078A">
        <w:rPr>
          <w:b/>
        </w:rPr>
        <w:t>, 2015.</w:t>
      </w:r>
    </w:p>
    <w:sectPr w:rsidR="00F4078A" w:rsidRPr="00BE20B3" w:rsidSect="00715CC1">
      <w:headerReference w:type="default" r:id="rId12"/>
      <w:footerReference w:type="default" r:id="rId13"/>
      <w:pgSz w:w="12240" w:h="15840"/>
      <w:pgMar w:top="1440" w:right="1080" w:bottom="126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D7FF" w14:textId="77777777" w:rsidR="00D256B8" w:rsidRDefault="00D256B8" w:rsidP="00DF5545">
      <w:r>
        <w:separator/>
      </w:r>
    </w:p>
    <w:p w14:paraId="27BD35AB" w14:textId="77777777" w:rsidR="00D256B8" w:rsidRDefault="00D256B8"/>
    <w:p w14:paraId="20C0A77B" w14:textId="77777777" w:rsidR="00D256B8" w:rsidRDefault="00D256B8"/>
  </w:endnote>
  <w:endnote w:type="continuationSeparator" w:id="0">
    <w:p w14:paraId="23356A74" w14:textId="77777777" w:rsidR="00D256B8" w:rsidRDefault="00D256B8" w:rsidP="00DF5545">
      <w:r>
        <w:continuationSeparator/>
      </w:r>
    </w:p>
    <w:p w14:paraId="53419DAF" w14:textId="77777777" w:rsidR="00D256B8" w:rsidRDefault="00D256B8"/>
    <w:p w14:paraId="174B2F99" w14:textId="77777777" w:rsidR="00D256B8" w:rsidRDefault="00D25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CECCC" w14:textId="12D83B2E" w:rsidR="00AB3674" w:rsidRPr="00715CC1" w:rsidRDefault="00BE20B3" w:rsidP="00715CC1">
    <w:pPr>
      <w:pStyle w:val="Footer"/>
      <w:tabs>
        <w:tab w:val="clear" w:pos="4680"/>
        <w:tab w:val="clear" w:pos="9360"/>
        <w:tab w:val="left" w:pos="10080"/>
      </w:tabs>
      <w:spacing w:after="0"/>
      <w:rPr>
        <w:color w:val="002F80" w:themeColor="text2"/>
      </w:rPr>
    </w:pPr>
    <w:r>
      <w:rPr>
        <w:color w:val="002F80" w:themeColor="text2"/>
      </w:rPr>
      <w:t xml:space="preserve">National Preparedness Directorate / </w:t>
    </w:r>
    <w:r w:rsidR="00AB3674">
      <w:rPr>
        <w:color w:val="002F80" w:themeColor="text2"/>
      </w:rPr>
      <w:t>National Integration Center</w:t>
    </w:r>
    <w:r>
      <w:rPr>
        <w:color w:val="002F80" w:themeColor="text2"/>
      </w:rPr>
      <w:t>, FEMA</w:t>
    </w:r>
    <w:r w:rsidR="00AB3674" w:rsidRPr="00AD5ADE">
      <w:rPr>
        <w:color w:val="002F80" w:themeColor="text2"/>
      </w:rPr>
      <w:tab/>
    </w:r>
    <w:sdt>
      <w:sdtPr>
        <w:rPr>
          <w:color w:val="002F80" w:themeColor="text2"/>
        </w:rPr>
        <w:id w:val="-922566169"/>
        <w:docPartObj>
          <w:docPartGallery w:val="Page Numbers (Bottom of Page)"/>
          <w:docPartUnique/>
        </w:docPartObj>
      </w:sdtPr>
      <w:sdtEndPr>
        <w:rPr>
          <w:noProof/>
        </w:rPr>
      </w:sdtEndPr>
      <w:sdtContent>
        <w:r w:rsidR="00AB3674" w:rsidRPr="00AD5ADE">
          <w:rPr>
            <w:color w:val="002F80" w:themeColor="text2"/>
          </w:rPr>
          <w:fldChar w:fldCharType="begin"/>
        </w:r>
        <w:r w:rsidR="00AB3674" w:rsidRPr="00AD5ADE">
          <w:rPr>
            <w:color w:val="002F80" w:themeColor="text2"/>
          </w:rPr>
          <w:instrText xml:space="preserve"> PAGE   \* MERGEFORMAT </w:instrText>
        </w:r>
        <w:r w:rsidR="00AB3674" w:rsidRPr="00AD5ADE">
          <w:rPr>
            <w:color w:val="002F80" w:themeColor="text2"/>
          </w:rPr>
          <w:fldChar w:fldCharType="separate"/>
        </w:r>
        <w:r w:rsidR="00A979E8">
          <w:rPr>
            <w:noProof/>
            <w:color w:val="002F80" w:themeColor="text2"/>
          </w:rPr>
          <w:t>1</w:t>
        </w:r>
        <w:r w:rsidR="00AB3674" w:rsidRPr="00AD5ADE">
          <w:rPr>
            <w:noProof/>
            <w:color w:val="002F80" w:themeColor="text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9C143" w14:textId="77777777" w:rsidR="00D256B8" w:rsidRDefault="00D256B8" w:rsidP="00DF5545">
      <w:r>
        <w:separator/>
      </w:r>
    </w:p>
    <w:p w14:paraId="71A7E022" w14:textId="77777777" w:rsidR="00D256B8" w:rsidRDefault="00D256B8"/>
    <w:p w14:paraId="504E6C6A" w14:textId="77777777" w:rsidR="00D256B8" w:rsidRDefault="00D256B8"/>
  </w:footnote>
  <w:footnote w:type="continuationSeparator" w:id="0">
    <w:p w14:paraId="41D7E7F3" w14:textId="77777777" w:rsidR="00D256B8" w:rsidRDefault="00D256B8" w:rsidP="00DF5545">
      <w:r>
        <w:continuationSeparator/>
      </w:r>
    </w:p>
    <w:p w14:paraId="12EA2F6B" w14:textId="77777777" w:rsidR="00D256B8" w:rsidRDefault="00D256B8"/>
    <w:p w14:paraId="3D29E30E" w14:textId="77777777" w:rsidR="00D256B8" w:rsidRDefault="00D256B8"/>
  </w:footnote>
  <w:footnote w:id="1">
    <w:p w14:paraId="3D68E96D" w14:textId="67CAA4EE" w:rsidR="00131AD5" w:rsidRPr="003D2B04" w:rsidRDefault="00131AD5" w:rsidP="00131AD5">
      <w:pPr>
        <w:pStyle w:val="FootnoteText"/>
        <w:rPr>
          <w:rFonts w:ascii="Times New Roman" w:hAnsi="Times New Roman" w:cs="Times New Roman"/>
        </w:rPr>
      </w:pPr>
      <w:r w:rsidRPr="003D2B04">
        <w:rPr>
          <w:rStyle w:val="FootnoteReference"/>
          <w:rFonts w:ascii="Times New Roman" w:hAnsi="Times New Roman" w:cs="Times New Roman"/>
        </w:rPr>
        <w:footnoteRef/>
      </w:r>
      <w:r w:rsidRPr="003D2B04">
        <w:rPr>
          <w:rFonts w:ascii="Times New Roman" w:hAnsi="Times New Roman" w:cs="Times New Roman"/>
        </w:rPr>
        <w:t xml:space="preserve"> U.S. Department of Homeland Security (2011, December).  The Strategic National Risk Assessment in Support of PPD 8: A Comprehensive Risk-Based Approach toward a Secure and Res</w:t>
      </w:r>
      <w:r w:rsidR="00F4078A">
        <w:rPr>
          <w:rFonts w:ascii="Times New Roman" w:hAnsi="Times New Roman" w:cs="Times New Roman"/>
        </w:rPr>
        <w:t xml:space="preserve">ilient Nation (public summary) </w:t>
      </w:r>
      <w:r w:rsidRPr="003D2B04">
        <w:rPr>
          <w:rFonts w:ascii="Times New Roman" w:hAnsi="Times New Roman" w:cs="Times New Roman"/>
        </w:rPr>
        <w:t>.</w:t>
      </w:r>
    </w:p>
  </w:footnote>
  <w:footnote w:id="2">
    <w:p w14:paraId="00DA4A96" w14:textId="77777777" w:rsidR="00A62577" w:rsidRPr="003D2B04" w:rsidRDefault="00A62577" w:rsidP="00A62577">
      <w:pPr>
        <w:pStyle w:val="FootnoteText"/>
        <w:rPr>
          <w:rFonts w:ascii="Times New Roman" w:hAnsi="Times New Roman" w:cs="Times New Roman"/>
        </w:rPr>
      </w:pPr>
      <w:r w:rsidRPr="003D2B04">
        <w:rPr>
          <w:rStyle w:val="FootnoteReference"/>
          <w:rFonts w:ascii="Times New Roman" w:hAnsi="Times New Roman" w:cs="Times New Roman"/>
        </w:rPr>
        <w:footnoteRef/>
      </w:r>
      <w:r w:rsidRPr="003D2B04">
        <w:rPr>
          <w:rFonts w:ascii="Times New Roman" w:hAnsi="Times New Roman" w:cs="Times New Roman"/>
        </w:rPr>
        <w:t xml:space="preserve"> Requirements, instructions, and standards are provided in the technical instruction ‘</w:t>
      </w:r>
      <w:r>
        <w:rPr>
          <w:rFonts w:ascii="Times New Roman" w:hAnsi="Times New Roman" w:cs="Times New Roman"/>
        </w:rPr>
        <w:t>SNRA 2015 Risk Summary Sheet Instructions and Template</w:t>
      </w:r>
      <w:r w:rsidRPr="003D2B04">
        <w:rPr>
          <w:rFonts w:ascii="Times New Roman" w:hAnsi="Times New Roman" w:cs="Times New Roman"/>
        </w:rPr>
        <w:t>’, attached.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9ECD5" w14:textId="3F3762B5" w:rsidR="00AB3674" w:rsidRPr="008D38E7" w:rsidRDefault="00BE20B3" w:rsidP="004B1723">
    <w:pPr>
      <w:pStyle w:val="Header"/>
      <w:tabs>
        <w:tab w:val="clear" w:pos="4680"/>
        <w:tab w:val="clear" w:pos="9360"/>
        <w:tab w:val="center" w:pos="5040"/>
      </w:tabs>
      <w:rPr>
        <w:color w:val="002F80" w:themeColor="text2"/>
      </w:rPr>
    </w:pPr>
    <w:r>
      <w:rPr>
        <w:color w:val="002F80" w:themeColor="text2"/>
      </w:rPr>
      <w:t xml:space="preserve"> </w:t>
    </w:r>
    <w:r>
      <w:rPr>
        <w:color w:val="002F80" w:themeColor="text2"/>
      </w:rPr>
      <w:tab/>
    </w:r>
    <w:r>
      <w:rPr>
        <w:color w:val="002F80" w:themeColor="text2"/>
      </w:rPr>
      <w:tab/>
    </w:r>
    <w:r>
      <w:rPr>
        <w:color w:val="002F80" w:themeColor="text2"/>
      </w:rPr>
      <w:tab/>
    </w:r>
    <w:r>
      <w:rPr>
        <w:color w:val="002F80" w:themeColor="text2"/>
      </w:rPr>
      <w:tab/>
    </w:r>
    <w:r>
      <w:rPr>
        <w:color w:val="002F80" w:themeColor="text2"/>
      </w:rPr>
      <w:tab/>
    </w:r>
    <w:r w:rsidR="00EE296A">
      <w:rPr>
        <w:color w:val="002F80" w:themeColor="text2"/>
      </w:rPr>
      <w:t>Februar</w:t>
    </w:r>
    <w:r w:rsidR="000C03BF">
      <w:rPr>
        <w:color w:val="002F80" w:themeColor="text2"/>
      </w:rPr>
      <w:t xml:space="preserve">y </w:t>
    </w:r>
    <w:r w:rsidR="00EF47BD">
      <w:rPr>
        <w:color w:val="002F80" w:themeColor="text2"/>
      </w:rPr>
      <w:t>1</w:t>
    </w:r>
    <w:r w:rsidR="00A979E8">
      <w:rPr>
        <w:color w:val="002F80" w:themeColor="text2"/>
      </w:rPr>
      <w:t>1</w:t>
    </w:r>
    <w:r>
      <w:rPr>
        <w:color w:val="002F80" w:themeColor="text2"/>
      </w:rPr>
      <w:t>,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3F0BA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331C8"/>
    <w:multiLevelType w:val="hybridMultilevel"/>
    <w:tmpl w:val="017E8718"/>
    <w:lvl w:ilvl="0" w:tplc="39E6AA08">
      <w:start w:val="1"/>
      <w:numFmt w:val="decimal"/>
      <w:lvlText w:val="%1."/>
      <w:lvlJc w:val="left"/>
      <w:pPr>
        <w:ind w:left="882" w:hanging="360"/>
      </w:pPr>
      <w:rPr>
        <w:rFonts w:asciiTheme="majorHAnsi" w:hAnsiTheme="majorHAnsi" w:cstheme="majorHAnsi" w:hint="default"/>
        <w:b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 w15:restartNumberingAfterBreak="0">
    <w:nsid w:val="057C2430"/>
    <w:multiLevelType w:val="hybridMultilevel"/>
    <w:tmpl w:val="017E8718"/>
    <w:lvl w:ilvl="0" w:tplc="39E6AA08">
      <w:start w:val="1"/>
      <w:numFmt w:val="decimal"/>
      <w:lvlText w:val="%1."/>
      <w:lvlJc w:val="left"/>
      <w:pPr>
        <w:ind w:left="882" w:hanging="360"/>
      </w:pPr>
      <w:rPr>
        <w:rFonts w:asciiTheme="majorHAnsi" w:hAnsiTheme="majorHAnsi" w:cstheme="majorHAnsi" w:hint="default"/>
        <w:b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C05495C"/>
    <w:multiLevelType w:val="hybridMultilevel"/>
    <w:tmpl w:val="1404200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4" w15:restartNumberingAfterBreak="0">
    <w:nsid w:val="0FDB7C05"/>
    <w:multiLevelType w:val="hybridMultilevel"/>
    <w:tmpl w:val="017E8718"/>
    <w:lvl w:ilvl="0" w:tplc="39E6AA08">
      <w:start w:val="1"/>
      <w:numFmt w:val="decimal"/>
      <w:lvlText w:val="%1."/>
      <w:lvlJc w:val="left"/>
      <w:pPr>
        <w:ind w:left="3060" w:hanging="360"/>
      </w:pPr>
      <w:rPr>
        <w:rFonts w:asciiTheme="majorHAnsi" w:hAnsiTheme="majorHAnsi" w:cstheme="majorHAnsi" w:hint="default"/>
        <w:b w:val="0"/>
        <w:color w:val="auto"/>
        <w:sz w:val="18"/>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113D1617"/>
    <w:multiLevelType w:val="hybridMultilevel"/>
    <w:tmpl w:val="017E8718"/>
    <w:lvl w:ilvl="0" w:tplc="39E6AA08">
      <w:start w:val="1"/>
      <w:numFmt w:val="decimal"/>
      <w:lvlText w:val="%1."/>
      <w:lvlJc w:val="left"/>
      <w:pPr>
        <w:ind w:left="882" w:hanging="360"/>
      </w:pPr>
      <w:rPr>
        <w:rFonts w:asciiTheme="majorHAnsi" w:hAnsiTheme="majorHAnsi" w:cstheme="majorHAnsi" w:hint="default"/>
        <w:b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3CE738D"/>
    <w:multiLevelType w:val="multilevel"/>
    <w:tmpl w:val="786676BE"/>
    <w:lvl w:ilvl="0">
      <w:start w:val="1"/>
      <w:numFmt w:val="bullet"/>
      <w:lvlText w:val=""/>
      <w:lvlJc w:val="left"/>
      <w:pPr>
        <w:ind w:left="720" w:hanging="360"/>
      </w:pPr>
      <w:rPr>
        <w:rFonts w:ascii="Symbol" w:hAnsi="Symbol" w:hint="default"/>
        <w:b/>
      </w:rPr>
    </w:lvl>
    <w:lvl w:ilvl="1">
      <w:start w:val="1"/>
      <w:numFmt w:val="bullet"/>
      <w:lvlText w:val=""/>
      <w:lvlJc w:val="left"/>
      <w:pPr>
        <w:ind w:left="1440" w:hanging="360"/>
      </w:pPr>
      <w:rPr>
        <w:rFonts w:ascii="Symbol" w:hAnsi="Symbol" w:hint="default"/>
        <w:b/>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D520C3"/>
    <w:multiLevelType w:val="hybridMultilevel"/>
    <w:tmpl w:val="B16AD9D2"/>
    <w:lvl w:ilvl="0" w:tplc="CD68CC78">
      <w:start w:val="1"/>
      <w:numFmt w:val="bullet"/>
      <w:pStyle w:val="Table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E4022"/>
    <w:multiLevelType w:val="hybridMultilevel"/>
    <w:tmpl w:val="190AE69E"/>
    <w:lvl w:ilvl="0" w:tplc="D31C7FA4">
      <w:start w:val="1"/>
      <w:numFmt w:val="bullet"/>
      <w:pStyle w:val="Boxbullet1"/>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C94901"/>
    <w:multiLevelType w:val="hybridMultilevel"/>
    <w:tmpl w:val="017E8718"/>
    <w:lvl w:ilvl="0" w:tplc="39E6AA08">
      <w:start w:val="1"/>
      <w:numFmt w:val="decimal"/>
      <w:lvlText w:val="%1."/>
      <w:lvlJc w:val="left"/>
      <w:pPr>
        <w:ind w:left="882" w:hanging="360"/>
      </w:pPr>
      <w:rPr>
        <w:rFonts w:asciiTheme="majorHAnsi" w:hAnsiTheme="majorHAnsi" w:cstheme="majorHAnsi" w:hint="default"/>
        <w:b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0" w15:restartNumberingAfterBreak="0">
    <w:nsid w:val="244364F8"/>
    <w:multiLevelType w:val="hybridMultilevel"/>
    <w:tmpl w:val="21C28D1C"/>
    <w:lvl w:ilvl="0" w:tplc="00D8BAE8">
      <w:start w:val="1"/>
      <w:numFmt w:val="decimal"/>
      <w:lvlText w:val="%1."/>
      <w:lvlJc w:val="left"/>
      <w:pPr>
        <w:ind w:left="882" w:hanging="360"/>
      </w:pPr>
      <w:rPr>
        <w:rFonts w:asciiTheme="majorHAnsi" w:hAnsiTheme="majorHAnsi" w:cstheme="majorHAnsi" w:hint="default"/>
        <w:b w:val="0"/>
        <w:i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1" w15:restartNumberingAfterBreak="0">
    <w:nsid w:val="27273A63"/>
    <w:multiLevelType w:val="multilevel"/>
    <w:tmpl w:val="190EAAC2"/>
    <w:lvl w:ilvl="0">
      <w:start w:val="1"/>
      <w:numFmt w:val="bullet"/>
      <w:pStyle w:val="BulletSquare"/>
      <w:lvlText w:val=""/>
      <w:lvlJc w:val="left"/>
      <w:pPr>
        <w:tabs>
          <w:tab w:val="num" w:pos="1440"/>
        </w:tabs>
        <w:ind w:left="1440" w:hanging="360"/>
      </w:pPr>
      <w:rPr>
        <w:rFonts w:ascii="Wingdings" w:hAnsi="Wingdings" w:hint="default"/>
      </w:rPr>
    </w:lvl>
    <w:lvl w:ilvl="1">
      <w:start w:val="1"/>
      <w:numFmt w:val="bullet"/>
      <w:lvlText w:val=""/>
      <w:lvlJc w:val="left"/>
      <w:pPr>
        <w:tabs>
          <w:tab w:val="num" w:pos="1800"/>
        </w:tabs>
        <w:ind w:left="1800" w:hanging="360"/>
      </w:pPr>
      <w:rPr>
        <w:rFonts w:ascii="Symbol" w:hAnsi="Symbol" w:hint="default"/>
        <w:color w:val="auto"/>
        <w:sz w:val="22"/>
      </w:rPr>
    </w:lvl>
    <w:lvl w:ilvl="2">
      <w:start w:val="1"/>
      <w:numFmt w:val="bullet"/>
      <w:lvlText w:val=""/>
      <w:lvlJc w:val="left"/>
      <w:pPr>
        <w:tabs>
          <w:tab w:val="num" w:pos="2160"/>
        </w:tabs>
        <w:ind w:left="2160" w:hanging="360"/>
      </w:pPr>
      <w:rPr>
        <w:rFonts w:ascii="Wingdings" w:hAnsi="Wingdings" w:hint="default"/>
        <w:sz w:val="12"/>
      </w:rPr>
    </w:lvl>
    <w:lvl w:ilvl="3">
      <w:start w:val="1"/>
      <w:numFmt w:val="bullet"/>
      <w:lvlText w:val="-"/>
      <w:lvlJc w:val="left"/>
      <w:pPr>
        <w:tabs>
          <w:tab w:val="num" w:pos="2520"/>
        </w:tabs>
        <w:ind w:left="2520" w:hanging="360"/>
      </w:pPr>
      <w:rPr>
        <w:rFonts w:ascii="Courier New" w:hAnsi="Courier New" w:hint="default"/>
      </w:rPr>
    </w:lvl>
    <w:lvl w:ilvl="4">
      <w:start w:val="1"/>
      <w:numFmt w:val="decimal"/>
      <w:lvlText w:val="%1.%2.%3.%4.%5."/>
      <w:lvlJc w:val="left"/>
      <w:pPr>
        <w:tabs>
          <w:tab w:val="num" w:pos="2102"/>
        </w:tabs>
        <w:ind w:left="1814" w:hanging="792"/>
      </w:pPr>
      <w:rPr>
        <w:rFonts w:cs="Times New Roman" w:hint="default"/>
      </w:rPr>
    </w:lvl>
    <w:lvl w:ilvl="5">
      <w:start w:val="1"/>
      <w:numFmt w:val="decimal"/>
      <w:lvlText w:val="%1.%2.%3.%4.%5.%6."/>
      <w:lvlJc w:val="left"/>
      <w:pPr>
        <w:tabs>
          <w:tab w:val="num" w:pos="2462"/>
        </w:tabs>
        <w:ind w:left="2318" w:hanging="936"/>
      </w:pPr>
      <w:rPr>
        <w:rFonts w:cs="Times New Roman" w:hint="default"/>
      </w:rPr>
    </w:lvl>
    <w:lvl w:ilvl="6">
      <w:start w:val="1"/>
      <w:numFmt w:val="decimal"/>
      <w:lvlText w:val="%1.%2.%3.%4.%5.%6.%7."/>
      <w:lvlJc w:val="left"/>
      <w:pPr>
        <w:tabs>
          <w:tab w:val="num" w:pos="3182"/>
        </w:tabs>
        <w:ind w:left="2822" w:hanging="1080"/>
      </w:pPr>
      <w:rPr>
        <w:rFonts w:cs="Times New Roman" w:hint="default"/>
      </w:rPr>
    </w:lvl>
    <w:lvl w:ilvl="7">
      <w:start w:val="1"/>
      <w:numFmt w:val="decimal"/>
      <w:lvlText w:val="%1.%2.%3.%4.%5.%6.%7.%8."/>
      <w:lvlJc w:val="left"/>
      <w:pPr>
        <w:tabs>
          <w:tab w:val="num" w:pos="3542"/>
        </w:tabs>
        <w:ind w:left="3326" w:hanging="1224"/>
      </w:pPr>
      <w:rPr>
        <w:rFonts w:cs="Times New Roman" w:hint="default"/>
      </w:rPr>
    </w:lvl>
    <w:lvl w:ilvl="8">
      <w:start w:val="1"/>
      <w:numFmt w:val="decimal"/>
      <w:lvlText w:val="%1.%2.%3.%4.%5.%6.%7.%8.%9."/>
      <w:lvlJc w:val="left"/>
      <w:pPr>
        <w:tabs>
          <w:tab w:val="num" w:pos="4262"/>
        </w:tabs>
        <w:ind w:left="3902" w:hanging="1440"/>
      </w:pPr>
      <w:rPr>
        <w:rFonts w:cs="Times New Roman" w:hint="default"/>
      </w:rPr>
    </w:lvl>
  </w:abstractNum>
  <w:abstractNum w:abstractNumId="12" w15:restartNumberingAfterBreak="0">
    <w:nsid w:val="33CC62EC"/>
    <w:multiLevelType w:val="hybridMultilevel"/>
    <w:tmpl w:val="017E8718"/>
    <w:lvl w:ilvl="0" w:tplc="39E6AA08">
      <w:start w:val="1"/>
      <w:numFmt w:val="decimal"/>
      <w:lvlText w:val="%1."/>
      <w:lvlJc w:val="left"/>
      <w:pPr>
        <w:ind w:left="882" w:hanging="360"/>
      </w:pPr>
      <w:rPr>
        <w:rFonts w:asciiTheme="majorHAnsi" w:hAnsiTheme="majorHAnsi" w:cstheme="majorHAnsi" w:hint="default"/>
        <w:b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3" w15:restartNumberingAfterBreak="0">
    <w:nsid w:val="37352CCE"/>
    <w:multiLevelType w:val="multilevel"/>
    <w:tmpl w:val="66286D28"/>
    <w:lvl w:ilvl="0">
      <w:start w:val="1"/>
      <w:numFmt w:val="decimal"/>
      <w:lvlText w:val="%1."/>
      <w:lvlJc w:val="left"/>
      <w:pPr>
        <w:ind w:left="720" w:hanging="360"/>
      </w:pPr>
      <w:rPr>
        <w:rFonts w:hint="default"/>
        <w:b/>
      </w:rPr>
    </w:lvl>
    <w:lvl w:ilvl="1">
      <w:start w:val="1"/>
      <w:numFmt w:val="bullet"/>
      <w:lvlText w:val=""/>
      <w:lvlJc w:val="left"/>
      <w:pPr>
        <w:ind w:left="1440" w:hanging="360"/>
      </w:pPr>
      <w:rPr>
        <w:rFonts w:ascii="Symbol" w:hAnsi="Symbol" w:hint="default"/>
        <w:b/>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851581"/>
    <w:multiLevelType w:val="multilevel"/>
    <w:tmpl w:val="9F9CB572"/>
    <w:lvl w:ilvl="0">
      <w:start w:val="1"/>
      <w:numFmt w:val="decimal"/>
      <w:lvlText w:val="Goal %1."/>
      <w:lvlJc w:val="left"/>
      <w:pPr>
        <w:ind w:left="720" w:hanging="360"/>
      </w:pPr>
      <w:rPr>
        <w:rFonts w:hint="default"/>
      </w:rPr>
    </w:lvl>
    <w:lvl w:ilvl="1">
      <w:start w:val="1"/>
      <w:numFmt w:val="lowerLetter"/>
      <w:pStyle w:val="Number2"/>
      <w:lvlText w:val="%2."/>
      <w:lvlJc w:val="left"/>
      <w:pPr>
        <w:ind w:left="1080" w:hanging="360"/>
      </w:pPr>
      <w:rPr>
        <w:rFonts w:hint="default"/>
      </w:rPr>
    </w:lvl>
    <w:lvl w:ilvl="2">
      <w:start w:val="1"/>
      <w:numFmt w:val="lowerRoman"/>
      <w:pStyle w:val="Number3"/>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3F9F6A48"/>
    <w:multiLevelType w:val="multilevel"/>
    <w:tmpl w:val="66286D28"/>
    <w:lvl w:ilvl="0">
      <w:start w:val="1"/>
      <w:numFmt w:val="decimal"/>
      <w:lvlText w:val="%1."/>
      <w:lvlJc w:val="left"/>
      <w:pPr>
        <w:ind w:left="720" w:hanging="360"/>
      </w:pPr>
      <w:rPr>
        <w:rFonts w:hint="default"/>
        <w:b/>
      </w:rPr>
    </w:lvl>
    <w:lvl w:ilvl="1">
      <w:start w:val="1"/>
      <w:numFmt w:val="bullet"/>
      <w:lvlText w:val=""/>
      <w:lvlJc w:val="left"/>
      <w:pPr>
        <w:ind w:left="1440" w:hanging="360"/>
      </w:pPr>
      <w:rPr>
        <w:rFonts w:ascii="Symbol" w:hAnsi="Symbol" w:hint="default"/>
        <w:b/>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C7E62"/>
    <w:multiLevelType w:val="hybridMultilevel"/>
    <w:tmpl w:val="87AAEF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01C7E"/>
    <w:multiLevelType w:val="multilevel"/>
    <w:tmpl w:val="3CC0E44E"/>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494A6F37"/>
    <w:multiLevelType w:val="hybridMultilevel"/>
    <w:tmpl w:val="BADA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35217E"/>
    <w:multiLevelType w:val="hybridMultilevel"/>
    <w:tmpl w:val="A2483C54"/>
    <w:lvl w:ilvl="0" w:tplc="AB6AA2A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A2286"/>
    <w:multiLevelType w:val="hybridMultilevel"/>
    <w:tmpl w:val="71DE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A20FD"/>
    <w:multiLevelType w:val="hybridMultilevel"/>
    <w:tmpl w:val="6CFA14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792228"/>
    <w:multiLevelType w:val="hybridMultilevel"/>
    <w:tmpl w:val="EB060B8A"/>
    <w:lvl w:ilvl="0" w:tplc="30EEA510">
      <w:start w:val="1"/>
      <w:numFmt w:val="bullet"/>
      <w:pStyle w:val="BoxBullet10"/>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273833"/>
    <w:multiLevelType w:val="hybridMultilevel"/>
    <w:tmpl w:val="80502436"/>
    <w:lvl w:ilvl="0" w:tplc="39E6AA08">
      <w:start w:val="1"/>
      <w:numFmt w:val="decimal"/>
      <w:lvlText w:val="%1."/>
      <w:lvlJc w:val="left"/>
      <w:pPr>
        <w:ind w:left="882" w:hanging="360"/>
      </w:pPr>
      <w:rPr>
        <w:rFonts w:asciiTheme="majorHAnsi" w:hAnsiTheme="majorHAnsi" w:cstheme="majorHAnsi" w:hint="default"/>
        <w:b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6D1C18D7"/>
    <w:multiLevelType w:val="hybridMultilevel"/>
    <w:tmpl w:val="017E8718"/>
    <w:lvl w:ilvl="0" w:tplc="39E6AA08">
      <w:start w:val="1"/>
      <w:numFmt w:val="decimal"/>
      <w:lvlText w:val="%1."/>
      <w:lvlJc w:val="left"/>
      <w:pPr>
        <w:ind w:left="882" w:hanging="360"/>
      </w:pPr>
      <w:rPr>
        <w:rFonts w:asciiTheme="majorHAnsi" w:hAnsiTheme="majorHAnsi" w:cstheme="majorHAnsi" w:hint="default"/>
        <w:b w:val="0"/>
        <w:color w:val="auto"/>
        <w:sz w:val="18"/>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15:restartNumberingAfterBreak="0">
    <w:nsid w:val="7CAC1352"/>
    <w:multiLevelType w:val="multilevel"/>
    <w:tmpl w:val="786676BE"/>
    <w:lvl w:ilvl="0">
      <w:start w:val="1"/>
      <w:numFmt w:val="bullet"/>
      <w:lvlText w:val=""/>
      <w:lvlJc w:val="left"/>
      <w:pPr>
        <w:ind w:left="720" w:hanging="360"/>
      </w:pPr>
      <w:rPr>
        <w:rFonts w:ascii="Symbol" w:hAnsi="Symbol" w:hint="default"/>
        <w:b/>
      </w:rPr>
    </w:lvl>
    <w:lvl w:ilvl="1">
      <w:start w:val="1"/>
      <w:numFmt w:val="bullet"/>
      <w:lvlText w:val=""/>
      <w:lvlJc w:val="left"/>
      <w:pPr>
        <w:ind w:left="1440" w:hanging="360"/>
      </w:pPr>
      <w:rPr>
        <w:rFonts w:ascii="Symbol" w:hAnsi="Symbol" w:hint="default"/>
        <w:b/>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218433">
    <w:abstractNumId w:val="22"/>
  </w:num>
  <w:num w:numId="2" w16cid:durableId="1669824095">
    <w:abstractNumId w:val="0"/>
  </w:num>
  <w:num w:numId="3" w16cid:durableId="549852800">
    <w:abstractNumId w:val="15"/>
  </w:num>
  <w:num w:numId="4" w16cid:durableId="1385569946">
    <w:abstractNumId w:val="8"/>
  </w:num>
  <w:num w:numId="5" w16cid:durableId="1299145802">
    <w:abstractNumId w:val="14"/>
  </w:num>
  <w:num w:numId="6" w16cid:durableId="571817429">
    <w:abstractNumId w:val="17"/>
  </w:num>
  <w:num w:numId="7" w16cid:durableId="1534994722">
    <w:abstractNumId w:val="7"/>
  </w:num>
  <w:num w:numId="8" w16cid:durableId="2076970906">
    <w:abstractNumId w:val="11"/>
  </w:num>
  <w:num w:numId="9" w16cid:durableId="2024821039">
    <w:abstractNumId w:val="10"/>
  </w:num>
  <w:num w:numId="10" w16cid:durableId="1176773664">
    <w:abstractNumId w:val="20"/>
  </w:num>
  <w:num w:numId="11" w16cid:durableId="1619988143">
    <w:abstractNumId w:val="5"/>
  </w:num>
  <w:num w:numId="12" w16cid:durableId="1976375331">
    <w:abstractNumId w:val="9"/>
  </w:num>
  <w:num w:numId="13" w16cid:durableId="2025398881">
    <w:abstractNumId w:val="1"/>
  </w:num>
  <w:num w:numId="14" w16cid:durableId="904337994">
    <w:abstractNumId w:val="23"/>
  </w:num>
  <w:num w:numId="15" w16cid:durableId="1882939810">
    <w:abstractNumId w:val="24"/>
  </w:num>
  <w:num w:numId="16" w16cid:durableId="1781727532">
    <w:abstractNumId w:val="2"/>
  </w:num>
  <w:num w:numId="17" w16cid:durableId="398093272">
    <w:abstractNumId w:val="4"/>
  </w:num>
  <w:num w:numId="18" w16cid:durableId="1305698142">
    <w:abstractNumId w:val="12"/>
  </w:num>
  <w:num w:numId="19" w16cid:durableId="436877986">
    <w:abstractNumId w:val="19"/>
  </w:num>
  <w:num w:numId="20" w16cid:durableId="1773429555">
    <w:abstractNumId w:val="16"/>
  </w:num>
  <w:num w:numId="21" w16cid:durableId="347490291">
    <w:abstractNumId w:val="21"/>
  </w:num>
  <w:num w:numId="22" w16cid:durableId="1629435943">
    <w:abstractNumId w:val="18"/>
  </w:num>
  <w:num w:numId="23" w16cid:durableId="248078385">
    <w:abstractNumId w:val="3"/>
  </w:num>
  <w:num w:numId="24" w16cid:durableId="382293207">
    <w:abstractNumId w:val="3"/>
  </w:num>
  <w:num w:numId="25" w16cid:durableId="298195745">
    <w:abstractNumId w:val="6"/>
  </w:num>
  <w:num w:numId="26" w16cid:durableId="1252857992">
    <w:abstractNumId w:val="25"/>
  </w:num>
  <w:num w:numId="27" w16cid:durableId="132081495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17CA"/>
    <w:rsid w:val="00000615"/>
    <w:rsid w:val="00000B29"/>
    <w:rsid w:val="00000DC2"/>
    <w:rsid w:val="00004D23"/>
    <w:rsid w:val="000058FF"/>
    <w:rsid w:val="00007C4A"/>
    <w:rsid w:val="000112BB"/>
    <w:rsid w:val="00011A9F"/>
    <w:rsid w:val="000205EC"/>
    <w:rsid w:val="0002440B"/>
    <w:rsid w:val="00027488"/>
    <w:rsid w:val="00031146"/>
    <w:rsid w:val="000327B8"/>
    <w:rsid w:val="00032EE4"/>
    <w:rsid w:val="00035FC0"/>
    <w:rsid w:val="0004332D"/>
    <w:rsid w:val="00044342"/>
    <w:rsid w:val="000446B2"/>
    <w:rsid w:val="000460A6"/>
    <w:rsid w:val="00047337"/>
    <w:rsid w:val="000527F6"/>
    <w:rsid w:val="00052F98"/>
    <w:rsid w:val="00053351"/>
    <w:rsid w:val="00055CD6"/>
    <w:rsid w:val="00056927"/>
    <w:rsid w:val="000574C5"/>
    <w:rsid w:val="00060929"/>
    <w:rsid w:val="00061BF1"/>
    <w:rsid w:val="000627AF"/>
    <w:rsid w:val="000654CC"/>
    <w:rsid w:val="00067B8C"/>
    <w:rsid w:val="00070881"/>
    <w:rsid w:val="00071597"/>
    <w:rsid w:val="00072D1A"/>
    <w:rsid w:val="00073EBC"/>
    <w:rsid w:val="000871FD"/>
    <w:rsid w:val="0009096D"/>
    <w:rsid w:val="00090AA7"/>
    <w:rsid w:val="00092755"/>
    <w:rsid w:val="000956A4"/>
    <w:rsid w:val="00097BA3"/>
    <w:rsid w:val="000A2CFE"/>
    <w:rsid w:val="000B1B93"/>
    <w:rsid w:val="000B2946"/>
    <w:rsid w:val="000B6A0E"/>
    <w:rsid w:val="000C03BF"/>
    <w:rsid w:val="000C2514"/>
    <w:rsid w:val="000C2EAF"/>
    <w:rsid w:val="000C4087"/>
    <w:rsid w:val="000C5AE3"/>
    <w:rsid w:val="000C627E"/>
    <w:rsid w:val="000C6B2E"/>
    <w:rsid w:val="000D65A3"/>
    <w:rsid w:val="000E0D5D"/>
    <w:rsid w:val="000E5BC0"/>
    <w:rsid w:val="000F51A6"/>
    <w:rsid w:val="000F55C9"/>
    <w:rsid w:val="001017D6"/>
    <w:rsid w:val="00101C6A"/>
    <w:rsid w:val="00103B1F"/>
    <w:rsid w:val="00111AAF"/>
    <w:rsid w:val="00115E23"/>
    <w:rsid w:val="00115F70"/>
    <w:rsid w:val="001221B0"/>
    <w:rsid w:val="001224E0"/>
    <w:rsid w:val="001313DA"/>
    <w:rsid w:val="00131AD5"/>
    <w:rsid w:val="0014165F"/>
    <w:rsid w:val="001440A4"/>
    <w:rsid w:val="001450D6"/>
    <w:rsid w:val="00150AA5"/>
    <w:rsid w:val="00150CA2"/>
    <w:rsid w:val="001512D8"/>
    <w:rsid w:val="0015280D"/>
    <w:rsid w:val="00157450"/>
    <w:rsid w:val="00160BF8"/>
    <w:rsid w:val="00161909"/>
    <w:rsid w:val="001637F1"/>
    <w:rsid w:val="00167C98"/>
    <w:rsid w:val="00173037"/>
    <w:rsid w:val="00180266"/>
    <w:rsid w:val="00186EB9"/>
    <w:rsid w:val="001870FF"/>
    <w:rsid w:val="00187206"/>
    <w:rsid w:val="001873F2"/>
    <w:rsid w:val="001879CE"/>
    <w:rsid w:val="001955F0"/>
    <w:rsid w:val="001965B2"/>
    <w:rsid w:val="00196DEF"/>
    <w:rsid w:val="001A008F"/>
    <w:rsid w:val="001A2F5A"/>
    <w:rsid w:val="001A351F"/>
    <w:rsid w:val="001A6918"/>
    <w:rsid w:val="001B568D"/>
    <w:rsid w:val="001B5ADF"/>
    <w:rsid w:val="001B6B79"/>
    <w:rsid w:val="001B7137"/>
    <w:rsid w:val="001C3F9F"/>
    <w:rsid w:val="001C758E"/>
    <w:rsid w:val="001D12A4"/>
    <w:rsid w:val="001D1AA8"/>
    <w:rsid w:val="001D57CD"/>
    <w:rsid w:val="001E1825"/>
    <w:rsid w:val="001E348C"/>
    <w:rsid w:val="001F1ADC"/>
    <w:rsid w:val="001F2510"/>
    <w:rsid w:val="001F25A2"/>
    <w:rsid w:val="002005A4"/>
    <w:rsid w:val="00201D8B"/>
    <w:rsid w:val="002051B9"/>
    <w:rsid w:val="00206ECA"/>
    <w:rsid w:val="00216F25"/>
    <w:rsid w:val="00221E29"/>
    <w:rsid w:val="00223D31"/>
    <w:rsid w:val="0022634E"/>
    <w:rsid w:val="00227D4A"/>
    <w:rsid w:val="002363FE"/>
    <w:rsid w:val="0024012B"/>
    <w:rsid w:val="0025048C"/>
    <w:rsid w:val="0025194F"/>
    <w:rsid w:val="00254332"/>
    <w:rsid w:val="00262427"/>
    <w:rsid w:val="00263BDD"/>
    <w:rsid w:val="002648EE"/>
    <w:rsid w:val="00270C7E"/>
    <w:rsid w:val="00270EBD"/>
    <w:rsid w:val="00272C44"/>
    <w:rsid w:val="0027604B"/>
    <w:rsid w:val="00277C2A"/>
    <w:rsid w:val="00282E69"/>
    <w:rsid w:val="002841C1"/>
    <w:rsid w:val="00286C60"/>
    <w:rsid w:val="00287FB4"/>
    <w:rsid w:val="0029224D"/>
    <w:rsid w:val="00294E16"/>
    <w:rsid w:val="002957FF"/>
    <w:rsid w:val="0029734C"/>
    <w:rsid w:val="002A221C"/>
    <w:rsid w:val="002A2263"/>
    <w:rsid w:val="002A699F"/>
    <w:rsid w:val="002B286A"/>
    <w:rsid w:val="002C4246"/>
    <w:rsid w:val="002C5920"/>
    <w:rsid w:val="002C72D5"/>
    <w:rsid w:val="002D58B2"/>
    <w:rsid w:val="002D683C"/>
    <w:rsid w:val="002E15BB"/>
    <w:rsid w:val="002F09EA"/>
    <w:rsid w:val="002F6587"/>
    <w:rsid w:val="00303953"/>
    <w:rsid w:val="00305FA6"/>
    <w:rsid w:val="00310260"/>
    <w:rsid w:val="00312286"/>
    <w:rsid w:val="00317AC2"/>
    <w:rsid w:val="003208AB"/>
    <w:rsid w:val="00323FB4"/>
    <w:rsid w:val="00325708"/>
    <w:rsid w:val="0033282B"/>
    <w:rsid w:val="00333CDC"/>
    <w:rsid w:val="00333E5F"/>
    <w:rsid w:val="0034750A"/>
    <w:rsid w:val="00347E63"/>
    <w:rsid w:val="00350FE8"/>
    <w:rsid w:val="003524B1"/>
    <w:rsid w:val="00361F90"/>
    <w:rsid w:val="00362E50"/>
    <w:rsid w:val="00363261"/>
    <w:rsid w:val="003637FD"/>
    <w:rsid w:val="00367F7F"/>
    <w:rsid w:val="00370C24"/>
    <w:rsid w:val="00370FC1"/>
    <w:rsid w:val="00372FCB"/>
    <w:rsid w:val="00373AFC"/>
    <w:rsid w:val="00374264"/>
    <w:rsid w:val="0037488D"/>
    <w:rsid w:val="0038249B"/>
    <w:rsid w:val="00383B45"/>
    <w:rsid w:val="00384568"/>
    <w:rsid w:val="00386BBD"/>
    <w:rsid w:val="00387299"/>
    <w:rsid w:val="003918BA"/>
    <w:rsid w:val="003A2E57"/>
    <w:rsid w:val="003A35BB"/>
    <w:rsid w:val="003A4E8E"/>
    <w:rsid w:val="003A635E"/>
    <w:rsid w:val="003A7D1F"/>
    <w:rsid w:val="003B34EB"/>
    <w:rsid w:val="003B39E8"/>
    <w:rsid w:val="003B3BC9"/>
    <w:rsid w:val="003B44F5"/>
    <w:rsid w:val="003B4A1A"/>
    <w:rsid w:val="003B6A54"/>
    <w:rsid w:val="003C052B"/>
    <w:rsid w:val="003C7BCE"/>
    <w:rsid w:val="003D28F5"/>
    <w:rsid w:val="003D584E"/>
    <w:rsid w:val="003D6268"/>
    <w:rsid w:val="003D6AA8"/>
    <w:rsid w:val="003E465C"/>
    <w:rsid w:val="003E748C"/>
    <w:rsid w:val="003F2C99"/>
    <w:rsid w:val="003F7698"/>
    <w:rsid w:val="004006B0"/>
    <w:rsid w:val="00400C23"/>
    <w:rsid w:val="00402D08"/>
    <w:rsid w:val="00412CEA"/>
    <w:rsid w:val="00414E3B"/>
    <w:rsid w:val="00415AF2"/>
    <w:rsid w:val="00415C0F"/>
    <w:rsid w:val="00416120"/>
    <w:rsid w:val="00417C4E"/>
    <w:rsid w:val="0042455F"/>
    <w:rsid w:val="00436788"/>
    <w:rsid w:val="0044455F"/>
    <w:rsid w:val="004457BF"/>
    <w:rsid w:val="00445E71"/>
    <w:rsid w:val="00453254"/>
    <w:rsid w:val="004628C1"/>
    <w:rsid w:val="00463C5A"/>
    <w:rsid w:val="004672F3"/>
    <w:rsid w:val="00467785"/>
    <w:rsid w:val="00475457"/>
    <w:rsid w:val="00483AAD"/>
    <w:rsid w:val="0048607D"/>
    <w:rsid w:val="004900E7"/>
    <w:rsid w:val="00494612"/>
    <w:rsid w:val="0049502C"/>
    <w:rsid w:val="004961F9"/>
    <w:rsid w:val="00497AA9"/>
    <w:rsid w:val="004A2377"/>
    <w:rsid w:val="004A60E6"/>
    <w:rsid w:val="004A6EF3"/>
    <w:rsid w:val="004B1723"/>
    <w:rsid w:val="004C54B1"/>
    <w:rsid w:val="004C6B78"/>
    <w:rsid w:val="004D43B5"/>
    <w:rsid w:val="004D7E82"/>
    <w:rsid w:val="004E51F6"/>
    <w:rsid w:val="004E6902"/>
    <w:rsid w:val="004E72FA"/>
    <w:rsid w:val="004F3326"/>
    <w:rsid w:val="004F3B40"/>
    <w:rsid w:val="004F7A2C"/>
    <w:rsid w:val="0050172F"/>
    <w:rsid w:val="005077F4"/>
    <w:rsid w:val="00510C56"/>
    <w:rsid w:val="00514C6B"/>
    <w:rsid w:val="00515013"/>
    <w:rsid w:val="00516C70"/>
    <w:rsid w:val="00517ADF"/>
    <w:rsid w:val="00520776"/>
    <w:rsid w:val="00520F79"/>
    <w:rsid w:val="005214A7"/>
    <w:rsid w:val="005351FB"/>
    <w:rsid w:val="00535ED5"/>
    <w:rsid w:val="0053720B"/>
    <w:rsid w:val="005408B2"/>
    <w:rsid w:val="00550688"/>
    <w:rsid w:val="00553DC5"/>
    <w:rsid w:val="00553DEF"/>
    <w:rsid w:val="005576D5"/>
    <w:rsid w:val="0056211E"/>
    <w:rsid w:val="005639B4"/>
    <w:rsid w:val="00567040"/>
    <w:rsid w:val="005674C2"/>
    <w:rsid w:val="00567DBD"/>
    <w:rsid w:val="00571F08"/>
    <w:rsid w:val="0057536B"/>
    <w:rsid w:val="00581EBD"/>
    <w:rsid w:val="00583FB4"/>
    <w:rsid w:val="005873ED"/>
    <w:rsid w:val="00591CA8"/>
    <w:rsid w:val="00593321"/>
    <w:rsid w:val="00594060"/>
    <w:rsid w:val="00594C2D"/>
    <w:rsid w:val="005A330A"/>
    <w:rsid w:val="005A755D"/>
    <w:rsid w:val="005B0A5D"/>
    <w:rsid w:val="005B13B2"/>
    <w:rsid w:val="005C1D9A"/>
    <w:rsid w:val="005C211D"/>
    <w:rsid w:val="005C39ED"/>
    <w:rsid w:val="005C60A0"/>
    <w:rsid w:val="005C62AB"/>
    <w:rsid w:val="005D2E36"/>
    <w:rsid w:val="005D4522"/>
    <w:rsid w:val="005E09DB"/>
    <w:rsid w:val="005E602D"/>
    <w:rsid w:val="005F0137"/>
    <w:rsid w:val="005F0CC5"/>
    <w:rsid w:val="005F1D50"/>
    <w:rsid w:val="005F3E16"/>
    <w:rsid w:val="005F7C0B"/>
    <w:rsid w:val="00600AB6"/>
    <w:rsid w:val="00601A0A"/>
    <w:rsid w:val="0060320C"/>
    <w:rsid w:val="006068EC"/>
    <w:rsid w:val="00606A46"/>
    <w:rsid w:val="00607C67"/>
    <w:rsid w:val="0061585C"/>
    <w:rsid w:val="00617F16"/>
    <w:rsid w:val="006240C1"/>
    <w:rsid w:val="00624B32"/>
    <w:rsid w:val="00630868"/>
    <w:rsid w:val="00637C81"/>
    <w:rsid w:val="006531F7"/>
    <w:rsid w:val="006634CD"/>
    <w:rsid w:val="00670034"/>
    <w:rsid w:val="006719E1"/>
    <w:rsid w:val="00675125"/>
    <w:rsid w:val="00675F13"/>
    <w:rsid w:val="00676966"/>
    <w:rsid w:val="006820D2"/>
    <w:rsid w:val="00685424"/>
    <w:rsid w:val="00690A31"/>
    <w:rsid w:val="00695980"/>
    <w:rsid w:val="006975FC"/>
    <w:rsid w:val="006B1389"/>
    <w:rsid w:val="006B1CEB"/>
    <w:rsid w:val="006B1D70"/>
    <w:rsid w:val="006B292A"/>
    <w:rsid w:val="006B5AC3"/>
    <w:rsid w:val="006C4CB6"/>
    <w:rsid w:val="006C7306"/>
    <w:rsid w:val="006D0234"/>
    <w:rsid w:val="006D23A9"/>
    <w:rsid w:val="006D60AA"/>
    <w:rsid w:val="006D79AE"/>
    <w:rsid w:val="006E4F6C"/>
    <w:rsid w:val="006E600B"/>
    <w:rsid w:val="006F13C1"/>
    <w:rsid w:val="006F4CB9"/>
    <w:rsid w:val="006F7383"/>
    <w:rsid w:val="0070076E"/>
    <w:rsid w:val="00704265"/>
    <w:rsid w:val="007068DA"/>
    <w:rsid w:val="007109E3"/>
    <w:rsid w:val="00710F6A"/>
    <w:rsid w:val="00715CC1"/>
    <w:rsid w:val="00720E44"/>
    <w:rsid w:val="007223E1"/>
    <w:rsid w:val="00722D28"/>
    <w:rsid w:val="00722FB9"/>
    <w:rsid w:val="007268DA"/>
    <w:rsid w:val="00727A90"/>
    <w:rsid w:val="00733D39"/>
    <w:rsid w:val="00745879"/>
    <w:rsid w:val="0075160D"/>
    <w:rsid w:val="00755A0E"/>
    <w:rsid w:val="00755B85"/>
    <w:rsid w:val="0075768F"/>
    <w:rsid w:val="0076406B"/>
    <w:rsid w:val="0076607E"/>
    <w:rsid w:val="00766C18"/>
    <w:rsid w:val="00767F43"/>
    <w:rsid w:val="007711DE"/>
    <w:rsid w:val="00772F07"/>
    <w:rsid w:val="00774A46"/>
    <w:rsid w:val="00774DBC"/>
    <w:rsid w:val="00781BC8"/>
    <w:rsid w:val="00781FFB"/>
    <w:rsid w:val="007826FE"/>
    <w:rsid w:val="00790FE1"/>
    <w:rsid w:val="007931D8"/>
    <w:rsid w:val="00794E00"/>
    <w:rsid w:val="007958F5"/>
    <w:rsid w:val="007961C5"/>
    <w:rsid w:val="007A1E6E"/>
    <w:rsid w:val="007A250A"/>
    <w:rsid w:val="007A6056"/>
    <w:rsid w:val="007A6576"/>
    <w:rsid w:val="007A6744"/>
    <w:rsid w:val="007A7F5E"/>
    <w:rsid w:val="007B01EC"/>
    <w:rsid w:val="007B3366"/>
    <w:rsid w:val="007B5C8E"/>
    <w:rsid w:val="007B6F49"/>
    <w:rsid w:val="007B7595"/>
    <w:rsid w:val="007C0202"/>
    <w:rsid w:val="007C140F"/>
    <w:rsid w:val="007C22F0"/>
    <w:rsid w:val="007C3E06"/>
    <w:rsid w:val="007C49FC"/>
    <w:rsid w:val="007D1316"/>
    <w:rsid w:val="007D208B"/>
    <w:rsid w:val="007E0D65"/>
    <w:rsid w:val="007E420B"/>
    <w:rsid w:val="007F0915"/>
    <w:rsid w:val="007F2DBA"/>
    <w:rsid w:val="007F392E"/>
    <w:rsid w:val="008041C7"/>
    <w:rsid w:val="008046DB"/>
    <w:rsid w:val="00807801"/>
    <w:rsid w:val="008152DB"/>
    <w:rsid w:val="00815595"/>
    <w:rsid w:val="008165F9"/>
    <w:rsid w:val="00824804"/>
    <w:rsid w:val="008262F5"/>
    <w:rsid w:val="00827785"/>
    <w:rsid w:val="00827875"/>
    <w:rsid w:val="00832F34"/>
    <w:rsid w:val="00835A52"/>
    <w:rsid w:val="00836213"/>
    <w:rsid w:val="00836DBE"/>
    <w:rsid w:val="008472AA"/>
    <w:rsid w:val="0084774A"/>
    <w:rsid w:val="008538D6"/>
    <w:rsid w:val="00861684"/>
    <w:rsid w:val="0086231F"/>
    <w:rsid w:val="00863E60"/>
    <w:rsid w:val="00865EDE"/>
    <w:rsid w:val="0087162E"/>
    <w:rsid w:val="008725CB"/>
    <w:rsid w:val="008735E4"/>
    <w:rsid w:val="00880EB2"/>
    <w:rsid w:val="00881CAC"/>
    <w:rsid w:val="00882A72"/>
    <w:rsid w:val="00887C26"/>
    <w:rsid w:val="0089402D"/>
    <w:rsid w:val="0089497F"/>
    <w:rsid w:val="00896FF1"/>
    <w:rsid w:val="008A0070"/>
    <w:rsid w:val="008A043A"/>
    <w:rsid w:val="008A0595"/>
    <w:rsid w:val="008A253F"/>
    <w:rsid w:val="008A2FAE"/>
    <w:rsid w:val="008A4688"/>
    <w:rsid w:val="008A735F"/>
    <w:rsid w:val="008A7A35"/>
    <w:rsid w:val="008B24DA"/>
    <w:rsid w:val="008B7709"/>
    <w:rsid w:val="008C2A34"/>
    <w:rsid w:val="008C753E"/>
    <w:rsid w:val="008D24A4"/>
    <w:rsid w:val="008D38E7"/>
    <w:rsid w:val="008D6608"/>
    <w:rsid w:val="008D7F59"/>
    <w:rsid w:val="008F0C2B"/>
    <w:rsid w:val="008F32A9"/>
    <w:rsid w:val="00902B8F"/>
    <w:rsid w:val="00911D08"/>
    <w:rsid w:val="00912A79"/>
    <w:rsid w:val="0091429A"/>
    <w:rsid w:val="009158EA"/>
    <w:rsid w:val="00916175"/>
    <w:rsid w:val="00916F69"/>
    <w:rsid w:val="00920667"/>
    <w:rsid w:val="00922BFF"/>
    <w:rsid w:val="009246FE"/>
    <w:rsid w:val="009403B3"/>
    <w:rsid w:val="00940ADA"/>
    <w:rsid w:val="009414A4"/>
    <w:rsid w:val="00943691"/>
    <w:rsid w:val="0094419E"/>
    <w:rsid w:val="00945215"/>
    <w:rsid w:val="0095446D"/>
    <w:rsid w:val="00955C44"/>
    <w:rsid w:val="0096589C"/>
    <w:rsid w:val="00965FA3"/>
    <w:rsid w:val="009709FF"/>
    <w:rsid w:val="009739EA"/>
    <w:rsid w:val="00975B66"/>
    <w:rsid w:val="00980CC1"/>
    <w:rsid w:val="009812F0"/>
    <w:rsid w:val="00982CCF"/>
    <w:rsid w:val="0098645D"/>
    <w:rsid w:val="009A254E"/>
    <w:rsid w:val="009A3218"/>
    <w:rsid w:val="009A64D9"/>
    <w:rsid w:val="009A7F2D"/>
    <w:rsid w:val="009B2170"/>
    <w:rsid w:val="009B487D"/>
    <w:rsid w:val="009B4B8F"/>
    <w:rsid w:val="009B5927"/>
    <w:rsid w:val="009C12BF"/>
    <w:rsid w:val="009C17CA"/>
    <w:rsid w:val="009D1F39"/>
    <w:rsid w:val="009D29F4"/>
    <w:rsid w:val="009D2F5B"/>
    <w:rsid w:val="009D3030"/>
    <w:rsid w:val="009D4558"/>
    <w:rsid w:val="009E5265"/>
    <w:rsid w:val="009E6F0A"/>
    <w:rsid w:val="009F27C9"/>
    <w:rsid w:val="009F2F6B"/>
    <w:rsid w:val="00A003D4"/>
    <w:rsid w:val="00A1133C"/>
    <w:rsid w:val="00A171BC"/>
    <w:rsid w:val="00A21479"/>
    <w:rsid w:val="00A2224B"/>
    <w:rsid w:val="00A22AC5"/>
    <w:rsid w:val="00A24E15"/>
    <w:rsid w:val="00A26939"/>
    <w:rsid w:val="00A3134A"/>
    <w:rsid w:val="00A33516"/>
    <w:rsid w:val="00A34DD6"/>
    <w:rsid w:val="00A36772"/>
    <w:rsid w:val="00A376FB"/>
    <w:rsid w:val="00A40524"/>
    <w:rsid w:val="00A40954"/>
    <w:rsid w:val="00A42753"/>
    <w:rsid w:val="00A508CB"/>
    <w:rsid w:val="00A51174"/>
    <w:rsid w:val="00A51747"/>
    <w:rsid w:val="00A517DC"/>
    <w:rsid w:val="00A528B1"/>
    <w:rsid w:val="00A6141F"/>
    <w:rsid w:val="00A61E0A"/>
    <w:rsid w:val="00A62577"/>
    <w:rsid w:val="00A6490E"/>
    <w:rsid w:val="00A74F3C"/>
    <w:rsid w:val="00A76848"/>
    <w:rsid w:val="00A77C74"/>
    <w:rsid w:val="00A8589F"/>
    <w:rsid w:val="00A86830"/>
    <w:rsid w:val="00A93254"/>
    <w:rsid w:val="00A950CA"/>
    <w:rsid w:val="00A9580F"/>
    <w:rsid w:val="00A95DFA"/>
    <w:rsid w:val="00A979E8"/>
    <w:rsid w:val="00AA0CEF"/>
    <w:rsid w:val="00AA0DA6"/>
    <w:rsid w:val="00AA38E3"/>
    <w:rsid w:val="00AB0C94"/>
    <w:rsid w:val="00AB17F7"/>
    <w:rsid w:val="00AB3674"/>
    <w:rsid w:val="00AB3900"/>
    <w:rsid w:val="00AC075E"/>
    <w:rsid w:val="00AC2BCE"/>
    <w:rsid w:val="00AC2F6B"/>
    <w:rsid w:val="00AC4EA2"/>
    <w:rsid w:val="00AC5CE5"/>
    <w:rsid w:val="00AC74D9"/>
    <w:rsid w:val="00AD1AB6"/>
    <w:rsid w:val="00AD2DE8"/>
    <w:rsid w:val="00AD2F34"/>
    <w:rsid w:val="00AD716C"/>
    <w:rsid w:val="00AE06D9"/>
    <w:rsid w:val="00AE2198"/>
    <w:rsid w:val="00AE25B3"/>
    <w:rsid w:val="00AE3FD2"/>
    <w:rsid w:val="00AE698C"/>
    <w:rsid w:val="00AF1742"/>
    <w:rsid w:val="00AF1D0F"/>
    <w:rsid w:val="00AF3686"/>
    <w:rsid w:val="00AF3E50"/>
    <w:rsid w:val="00AF6505"/>
    <w:rsid w:val="00B000EE"/>
    <w:rsid w:val="00B04A34"/>
    <w:rsid w:val="00B05A77"/>
    <w:rsid w:val="00B10EA1"/>
    <w:rsid w:val="00B11A92"/>
    <w:rsid w:val="00B14CD7"/>
    <w:rsid w:val="00B22648"/>
    <w:rsid w:val="00B22AC7"/>
    <w:rsid w:val="00B23D59"/>
    <w:rsid w:val="00B32148"/>
    <w:rsid w:val="00B34513"/>
    <w:rsid w:val="00B37AAC"/>
    <w:rsid w:val="00B400F6"/>
    <w:rsid w:val="00B41F9F"/>
    <w:rsid w:val="00B46EE2"/>
    <w:rsid w:val="00B474EC"/>
    <w:rsid w:val="00B502C3"/>
    <w:rsid w:val="00B5033B"/>
    <w:rsid w:val="00B50AB1"/>
    <w:rsid w:val="00B51EA1"/>
    <w:rsid w:val="00B53947"/>
    <w:rsid w:val="00B60DE1"/>
    <w:rsid w:val="00B6203C"/>
    <w:rsid w:val="00B63004"/>
    <w:rsid w:val="00B65FEE"/>
    <w:rsid w:val="00B73C20"/>
    <w:rsid w:val="00B8024C"/>
    <w:rsid w:val="00B83881"/>
    <w:rsid w:val="00B87371"/>
    <w:rsid w:val="00B948FC"/>
    <w:rsid w:val="00BA124A"/>
    <w:rsid w:val="00BA4293"/>
    <w:rsid w:val="00BA75A4"/>
    <w:rsid w:val="00BA7C06"/>
    <w:rsid w:val="00BB2C6C"/>
    <w:rsid w:val="00BB358B"/>
    <w:rsid w:val="00BB5448"/>
    <w:rsid w:val="00BC232E"/>
    <w:rsid w:val="00BC27AF"/>
    <w:rsid w:val="00BC2FEE"/>
    <w:rsid w:val="00BC7C33"/>
    <w:rsid w:val="00BD0E3C"/>
    <w:rsid w:val="00BD1B89"/>
    <w:rsid w:val="00BD251B"/>
    <w:rsid w:val="00BE2089"/>
    <w:rsid w:val="00BE20B3"/>
    <w:rsid w:val="00BE31A6"/>
    <w:rsid w:val="00BE4979"/>
    <w:rsid w:val="00BF1677"/>
    <w:rsid w:val="00BF3E74"/>
    <w:rsid w:val="00C057D9"/>
    <w:rsid w:val="00C13E35"/>
    <w:rsid w:val="00C144A1"/>
    <w:rsid w:val="00C17DDC"/>
    <w:rsid w:val="00C21327"/>
    <w:rsid w:val="00C22DF4"/>
    <w:rsid w:val="00C32F81"/>
    <w:rsid w:val="00C404A8"/>
    <w:rsid w:val="00C410E9"/>
    <w:rsid w:val="00C4196B"/>
    <w:rsid w:val="00C41D1E"/>
    <w:rsid w:val="00C44806"/>
    <w:rsid w:val="00C44C08"/>
    <w:rsid w:val="00C47B34"/>
    <w:rsid w:val="00C51850"/>
    <w:rsid w:val="00C5699A"/>
    <w:rsid w:val="00C572CD"/>
    <w:rsid w:val="00C64AEB"/>
    <w:rsid w:val="00C6505F"/>
    <w:rsid w:val="00C65666"/>
    <w:rsid w:val="00C656BA"/>
    <w:rsid w:val="00C7246B"/>
    <w:rsid w:val="00C73329"/>
    <w:rsid w:val="00C806F4"/>
    <w:rsid w:val="00C80C8A"/>
    <w:rsid w:val="00C85E7F"/>
    <w:rsid w:val="00C86AE7"/>
    <w:rsid w:val="00C900D0"/>
    <w:rsid w:val="00CA0E52"/>
    <w:rsid w:val="00CA5A68"/>
    <w:rsid w:val="00CB1712"/>
    <w:rsid w:val="00CB78F4"/>
    <w:rsid w:val="00CC2CCD"/>
    <w:rsid w:val="00CC6A54"/>
    <w:rsid w:val="00CD3856"/>
    <w:rsid w:val="00CD54B5"/>
    <w:rsid w:val="00CD6116"/>
    <w:rsid w:val="00CE2DE8"/>
    <w:rsid w:val="00CE4BBB"/>
    <w:rsid w:val="00CF0A9C"/>
    <w:rsid w:val="00CF1EC4"/>
    <w:rsid w:val="00CF2D59"/>
    <w:rsid w:val="00CF3722"/>
    <w:rsid w:val="00CF53D1"/>
    <w:rsid w:val="00CF5CE0"/>
    <w:rsid w:val="00CF5F90"/>
    <w:rsid w:val="00D02FB2"/>
    <w:rsid w:val="00D05990"/>
    <w:rsid w:val="00D059EA"/>
    <w:rsid w:val="00D05A98"/>
    <w:rsid w:val="00D1070A"/>
    <w:rsid w:val="00D14F4B"/>
    <w:rsid w:val="00D16722"/>
    <w:rsid w:val="00D226E3"/>
    <w:rsid w:val="00D22B42"/>
    <w:rsid w:val="00D233CA"/>
    <w:rsid w:val="00D23546"/>
    <w:rsid w:val="00D256B8"/>
    <w:rsid w:val="00D27DD7"/>
    <w:rsid w:val="00D3324C"/>
    <w:rsid w:val="00D34756"/>
    <w:rsid w:val="00D36583"/>
    <w:rsid w:val="00D379BE"/>
    <w:rsid w:val="00D40F76"/>
    <w:rsid w:val="00D51E15"/>
    <w:rsid w:val="00D52028"/>
    <w:rsid w:val="00D53CC8"/>
    <w:rsid w:val="00D64B66"/>
    <w:rsid w:val="00D739B6"/>
    <w:rsid w:val="00D7494E"/>
    <w:rsid w:val="00D7729C"/>
    <w:rsid w:val="00D779F7"/>
    <w:rsid w:val="00D814FD"/>
    <w:rsid w:val="00D81E5E"/>
    <w:rsid w:val="00D85BEE"/>
    <w:rsid w:val="00D86DCF"/>
    <w:rsid w:val="00D90673"/>
    <w:rsid w:val="00DB0629"/>
    <w:rsid w:val="00DB2B21"/>
    <w:rsid w:val="00DB4F2A"/>
    <w:rsid w:val="00DB546A"/>
    <w:rsid w:val="00DC3508"/>
    <w:rsid w:val="00DC7D57"/>
    <w:rsid w:val="00DD0465"/>
    <w:rsid w:val="00DD421F"/>
    <w:rsid w:val="00DD56EE"/>
    <w:rsid w:val="00DE0116"/>
    <w:rsid w:val="00DE29D8"/>
    <w:rsid w:val="00DF4ADA"/>
    <w:rsid w:val="00DF5545"/>
    <w:rsid w:val="00DF7765"/>
    <w:rsid w:val="00E00A6B"/>
    <w:rsid w:val="00E022C8"/>
    <w:rsid w:val="00E02FF7"/>
    <w:rsid w:val="00E05283"/>
    <w:rsid w:val="00E100E3"/>
    <w:rsid w:val="00E14018"/>
    <w:rsid w:val="00E370CA"/>
    <w:rsid w:val="00E37972"/>
    <w:rsid w:val="00E40FC9"/>
    <w:rsid w:val="00E4170C"/>
    <w:rsid w:val="00E418AA"/>
    <w:rsid w:val="00E418C1"/>
    <w:rsid w:val="00E53341"/>
    <w:rsid w:val="00E565B8"/>
    <w:rsid w:val="00E61436"/>
    <w:rsid w:val="00E63CAD"/>
    <w:rsid w:val="00E67F1A"/>
    <w:rsid w:val="00E703D7"/>
    <w:rsid w:val="00E72B80"/>
    <w:rsid w:val="00E74DFD"/>
    <w:rsid w:val="00E75971"/>
    <w:rsid w:val="00E803D7"/>
    <w:rsid w:val="00E81133"/>
    <w:rsid w:val="00E90647"/>
    <w:rsid w:val="00E9084D"/>
    <w:rsid w:val="00EA0108"/>
    <w:rsid w:val="00EA4A2F"/>
    <w:rsid w:val="00EA60B9"/>
    <w:rsid w:val="00EB237A"/>
    <w:rsid w:val="00EB29AA"/>
    <w:rsid w:val="00EB2F28"/>
    <w:rsid w:val="00EB40E1"/>
    <w:rsid w:val="00EB4797"/>
    <w:rsid w:val="00EB6016"/>
    <w:rsid w:val="00EB6771"/>
    <w:rsid w:val="00EC133B"/>
    <w:rsid w:val="00EC2030"/>
    <w:rsid w:val="00EC206C"/>
    <w:rsid w:val="00EC48D1"/>
    <w:rsid w:val="00EC6AAA"/>
    <w:rsid w:val="00ED1C50"/>
    <w:rsid w:val="00ED71D2"/>
    <w:rsid w:val="00ED7A9F"/>
    <w:rsid w:val="00EE0A61"/>
    <w:rsid w:val="00EE1A1B"/>
    <w:rsid w:val="00EE25F8"/>
    <w:rsid w:val="00EE296A"/>
    <w:rsid w:val="00EE2E0C"/>
    <w:rsid w:val="00EE4A18"/>
    <w:rsid w:val="00EE66B4"/>
    <w:rsid w:val="00EF18B3"/>
    <w:rsid w:val="00EF4334"/>
    <w:rsid w:val="00EF47BD"/>
    <w:rsid w:val="00EF5941"/>
    <w:rsid w:val="00F01DD9"/>
    <w:rsid w:val="00F03B87"/>
    <w:rsid w:val="00F048D2"/>
    <w:rsid w:val="00F05518"/>
    <w:rsid w:val="00F05A6B"/>
    <w:rsid w:val="00F062BB"/>
    <w:rsid w:val="00F06774"/>
    <w:rsid w:val="00F07930"/>
    <w:rsid w:val="00F124FF"/>
    <w:rsid w:val="00F23672"/>
    <w:rsid w:val="00F3655D"/>
    <w:rsid w:val="00F37965"/>
    <w:rsid w:val="00F4078A"/>
    <w:rsid w:val="00F4161F"/>
    <w:rsid w:val="00F431F6"/>
    <w:rsid w:val="00F539E6"/>
    <w:rsid w:val="00F56F55"/>
    <w:rsid w:val="00F61CB8"/>
    <w:rsid w:val="00F65946"/>
    <w:rsid w:val="00F65DCA"/>
    <w:rsid w:val="00F6798B"/>
    <w:rsid w:val="00F72BD1"/>
    <w:rsid w:val="00F753E3"/>
    <w:rsid w:val="00F762CB"/>
    <w:rsid w:val="00F77452"/>
    <w:rsid w:val="00F84C10"/>
    <w:rsid w:val="00F906A1"/>
    <w:rsid w:val="00F921E0"/>
    <w:rsid w:val="00F933C2"/>
    <w:rsid w:val="00F93AF5"/>
    <w:rsid w:val="00FA6F51"/>
    <w:rsid w:val="00FB3965"/>
    <w:rsid w:val="00FB46A0"/>
    <w:rsid w:val="00FC1A1D"/>
    <w:rsid w:val="00FC7508"/>
    <w:rsid w:val="00FD1CFF"/>
    <w:rsid w:val="00FD216F"/>
    <w:rsid w:val="00FD286C"/>
    <w:rsid w:val="00FD3AA5"/>
    <w:rsid w:val="00FD48E6"/>
    <w:rsid w:val="00FE0D9E"/>
    <w:rsid w:val="00FE2C1D"/>
    <w:rsid w:val="00FE3369"/>
    <w:rsid w:val="00FE5FA9"/>
    <w:rsid w:val="00FE7C3A"/>
    <w:rsid w:val="00FF0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9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8F4"/>
    <w:pPr>
      <w:spacing w:after="120"/>
    </w:pPr>
    <w:rPr>
      <w:sz w:val="24"/>
    </w:rPr>
  </w:style>
  <w:style w:type="paragraph" w:styleId="Heading1">
    <w:name w:val="heading 1"/>
    <w:basedOn w:val="Normal"/>
    <w:next w:val="Normal"/>
    <w:link w:val="Heading1Char"/>
    <w:uiPriority w:val="9"/>
    <w:qFormat/>
    <w:rsid w:val="008735E4"/>
    <w:pPr>
      <w:keepNext/>
      <w:keepLines/>
      <w:spacing w:before="360" w:after="0"/>
      <w:outlineLvl w:val="0"/>
    </w:pPr>
    <w:rPr>
      <w:rFonts w:asciiTheme="majorHAnsi" w:eastAsiaTheme="majorEastAsia" w:hAnsiTheme="majorHAnsi" w:cstheme="majorBidi"/>
      <w:b/>
      <w:bCs/>
      <w:color w:val="002F80" w:themeColor="text2"/>
      <w:sz w:val="28"/>
      <w:szCs w:val="28"/>
    </w:rPr>
  </w:style>
  <w:style w:type="paragraph" w:styleId="Heading2">
    <w:name w:val="heading 2"/>
    <w:basedOn w:val="Normal"/>
    <w:next w:val="Normal"/>
    <w:link w:val="Heading2Char"/>
    <w:uiPriority w:val="9"/>
    <w:unhideWhenUsed/>
    <w:qFormat/>
    <w:rsid w:val="008735E4"/>
    <w:pPr>
      <w:keepNext/>
      <w:keepLines/>
      <w:spacing w:before="180" w:after="0"/>
      <w:ind w:left="576" w:hanging="576"/>
      <w:outlineLvl w:val="1"/>
    </w:pPr>
    <w:rPr>
      <w:rFonts w:asciiTheme="majorHAnsi" w:eastAsiaTheme="majorEastAsia" w:hAnsiTheme="majorHAnsi" w:cstheme="majorBidi"/>
      <w:bCs/>
      <w:i/>
      <w:color w:val="002F80" w:themeColor="text2"/>
      <w:sz w:val="28"/>
      <w:szCs w:val="26"/>
    </w:rPr>
  </w:style>
  <w:style w:type="paragraph" w:styleId="Heading3">
    <w:name w:val="heading 3"/>
    <w:basedOn w:val="Normal"/>
    <w:next w:val="Normal"/>
    <w:link w:val="Heading3Char"/>
    <w:uiPriority w:val="9"/>
    <w:unhideWhenUsed/>
    <w:qFormat/>
    <w:rsid w:val="008735E4"/>
    <w:pPr>
      <w:keepNext/>
      <w:keepLines/>
      <w:spacing w:before="240"/>
      <w:outlineLvl w:val="2"/>
    </w:pPr>
    <w:rPr>
      <w:rFonts w:asciiTheme="majorHAnsi" w:eastAsiaTheme="majorEastAsia" w:hAnsiTheme="majorHAnsi" w:cstheme="majorBidi"/>
      <w:b/>
      <w:bCs/>
      <w:color w:val="0070B2" w:themeColor="accent6"/>
    </w:rPr>
  </w:style>
  <w:style w:type="paragraph" w:styleId="Heading4">
    <w:name w:val="heading 4"/>
    <w:basedOn w:val="Normal"/>
    <w:next w:val="Normal"/>
    <w:link w:val="Heading4Char"/>
    <w:uiPriority w:val="9"/>
    <w:unhideWhenUsed/>
    <w:qFormat/>
    <w:rsid w:val="008735E4"/>
    <w:pPr>
      <w:keepNext/>
      <w:keepLines/>
      <w:spacing w:before="200" w:after="0"/>
      <w:outlineLvl w:val="3"/>
    </w:pPr>
    <w:rPr>
      <w:rFonts w:asciiTheme="majorHAnsi" w:eastAsiaTheme="majorEastAsia" w:hAnsiTheme="majorHAnsi" w:cstheme="majorBidi"/>
      <w:bCs/>
      <w:i/>
      <w:iCs/>
      <w:color w:val="0070B2" w:themeColor="accent6"/>
    </w:rPr>
  </w:style>
  <w:style w:type="paragraph" w:styleId="Heading5">
    <w:name w:val="heading 5"/>
    <w:basedOn w:val="Normal"/>
    <w:next w:val="Normal"/>
    <w:link w:val="Heading5Char"/>
    <w:uiPriority w:val="9"/>
    <w:unhideWhenUsed/>
    <w:rsid w:val="00445E71"/>
    <w:pPr>
      <w:keepNext/>
      <w:keepLines/>
      <w:numPr>
        <w:ilvl w:val="4"/>
        <w:numId w:val="6"/>
      </w:numPr>
      <w:spacing w:before="200"/>
      <w:outlineLvl w:val="4"/>
    </w:pPr>
    <w:rPr>
      <w:rFonts w:asciiTheme="majorHAnsi" w:eastAsiaTheme="majorEastAsia" w:hAnsiTheme="majorHAnsi" w:cstheme="majorBidi"/>
      <w:color w:val="00173F" w:themeColor="accent1" w:themeShade="7F"/>
    </w:rPr>
  </w:style>
  <w:style w:type="paragraph" w:styleId="Heading6">
    <w:name w:val="heading 6"/>
    <w:basedOn w:val="Normal"/>
    <w:next w:val="Normal"/>
    <w:link w:val="Heading6Char"/>
    <w:uiPriority w:val="9"/>
    <w:semiHidden/>
    <w:unhideWhenUsed/>
    <w:rsid w:val="00445E71"/>
    <w:pPr>
      <w:keepNext/>
      <w:keepLines/>
      <w:numPr>
        <w:ilvl w:val="5"/>
        <w:numId w:val="6"/>
      </w:numPr>
      <w:spacing w:before="200"/>
      <w:outlineLvl w:val="5"/>
    </w:pPr>
    <w:rPr>
      <w:rFonts w:asciiTheme="majorHAnsi" w:eastAsiaTheme="majorEastAsia" w:hAnsiTheme="majorHAnsi" w:cstheme="majorBidi"/>
      <w:i/>
      <w:iCs/>
      <w:color w:val="00173F" w:themeColor="accent1" w:themeShade="7F"/>
    </w:rPr>
  </w:style>
  <w:style w:type="paragraph" w:styleId="Heading7">
    <w:name w:val="heading 7"/>
    <w:basedOn w:val="Normal"/>
    <w:next w:val="Normal"/>
    <w:link w:val="Heading7Char"/>
    <w:uiPriority w:val="9"/>
    <w:semiHidden/>
    <w:unhideWhenUsed/>
    <w:qFormat/>
    <w:rsid w:val="00445E71"/>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5E71"/>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45E71"/>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545"/>
    <w:pPr>
      <w:tabs>
        <w:tab w:val="center" w:pos="4680"/>
        <w:tab w:val="right" w:pos="9360"/>
      </w:tabs>
    </w:pPr>
  </w:style>
  <w:style w:type="character" w:customStyle="1" w:styleId="HeaderChar">
    <w:name w:val="Header Char"/>
    <w:basedOn w:val="DefaultParagraphFont"/>
    <w:link w:val="Header"/>
    <w:uiPriority w:val="99"/>
    <w:rsid w:val="00DF5545"/>
  </w:style>
  <w:style w:type="paragraph" w:styleId="Footer">
    <w:name w:val="footer"/>
    <w:basedOn w:val="Normal"/>
    <w:link w:val="FooterChar"/>
    <w:uiPriority w:val="99"/>
    <w:unhideWhenUsed/>
    <w:rsid w:val="00DF5545"/>
    <w:pPr>
      <w:tabs>
        <w:tab w:val="center" w:pos="4680"/>
        <w:tab w:val="right" w:pos="9360"/>
      </w:tabs>
    </w:pPr>
  </w:style>
  <w:style w:type="character" w:customStyle="1" w:styleId="FooterChar">
    <w:name w:val="Footer Char"/>
    <w:basedOn w:val="DefaultParagraphFont"/>
    <w:link w:val="Footer"/>
    <w:uiPriority w:val="99"/>
    <w:rsid w:val="00DF5545"/>
  </w:style>
  <w:style w:type="table" w:styleId="TableGrid">
    <w:name w:val="Table Grid"/>
    <w:basedOn w:val="TableNormal"/>
    <w:uiPriority w:val="59"/>
    <w:rsid w:val="005674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forTextandBullets">
    <w:name w:val="Table for Text and Bullets"/>
    <w:basedOn w:val="TableNormal"/>
    <w:uiPriority w:val="99"/>
    <w:rsid w:val="00C65666"/>
    <w:pPr>
      <w:spacing w:after="0"/>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144" w:type="dxa"/>
        <w:bottom w:w="72" w:type="dxa"/>
        <w:right w:w="144" w:type="dxa"/>
      </w:tblCellMar>
    </w:tblPr>
    <w:tblStylePr w:type="firstRow">
      <w:pPr>
        <w:wordWrap/>
        <w:jc w:val="center"/>
      </w:pPr>
      <w:rPr>
        <w:rFonts w:ascii="Arial" w:hAnsi="Arial"/>
        <w:b/>
        <w:sz w:val="24"/>
      </w:rPr>
      <w:tblPr/>
      <w:tcPr>
        <w:shd w:val="clear" w:color="auto" w:fill="002F80" w:themeFill="text2"/>
        <w:vAlign w:val="center"/>
      </w:tcPr>
    </w:tblStylePr>
  </w:style>
  <w:style w:type="table" w:customStyle="1" w:styleId="TableforDataLists">
    <w:name w:val="Table for Data Lists"/>
    <w:basedOn w:val="TableNormal"/>
    <w:uiPriority w:val="99"/>
    <w:rsid w:val="003D584E"/>
    <w:pPr>
      <w:spacing w:after="0"/>
    </w:pPr>
    <w:rPr>
      <w:rFonts w:ascii="Arial" w:hAnsi="Arial"/>
      <w:color w:val="000000" w:themeColor="text1"/>
      <w:sz w:val="20"/>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9" w:type="dxa"/>
        <w:left w:w="144" w:type="dxa"/>
        <w:bottom w:w="29" w:type="dxa"/>
        <w:right w:w="144" w:type="dxa"/>
      </w:tblCellMar>
    </w:tblPr>
    <w:trPr>
      <w:jc w:val="right"/>
    </w:trPr>
    <w:tcPr>
      <w:vAlign w:val="center"/>
    </w:tcPr>
    <w:tblStylePr w:type="firstRow">
      <w:pPr>
        <w:wordWrap/>
        <w:spacing w:beforeLines="0" w:beforeAutospacing="0" w:afterLines="0" w:afterAutospacing="0" w:line="240" w:lineRule="auto"/>
        <w:contextualSpacing w:val="0"/>
        <w:jc w:val="center"/>
      </w:pPr>
      <w:rPr>
        <w:rFonts w:ascii="Arial" w:hAnsi="Arial"/>
        <w:b/>
        <w:color w:val="FFFFFF" w:themeColor="background1"/>
        <w:sz w:val="24"/>
      </w:rPr>
      <w:tblPr>
        <w:tblCellMar>
          <w:top w:w="43" w:type="dxa"/>
          <w:left w:w="72" w:type="dxa"/>
          <w:bottom w:w="43" w:type="dxa"/>
          <w:right w:w="72" w:type="dxa"/>
        </w:tblCellMar>
      </w:tblPr>
      <w:tcPr>
        <w:shd w:val="clear" w:color="auto" w:fill="002F80" w:themeFill="text2"/>
      </w:tcPr>
    </w:tblStylePr>
  </w:style>
  <w:style w:type="paragraph" w:styleId="ListParagraph">
    <w:name w:val="List Paragraph"/>
    <w:basedOn w:val="Normal"/>
    <w:link w:val="ListParagraphChar"/>
    <w:uiPriority w:val="34"/>
    <w:qFormat/>
    <w:rsid w:val="001512D8"/>
    <w:pPr>
      <w:ind w:left="720"/>
      <w:contextualSpacing/>
    </w:pPr>
  </w:style>
  <w:style w:type="paragraph" w:customStyle="1" w:styleId="BoxHedWhite">
    <w:name w:val="Box Hed White"/>
    <w:basedOn w:val="Normal"/>
    <w:link w:val="BoxHedWhiteChar"/>
    <w:qFormat/>
    <w:rsid w:val="007A250A"/>
    <w:rPr>
      <w:rFonts w:asciiTheme="majorHAnsi" w:hAnsiTheme="majorHAnsi" w:cstheme="majorHAnsi"/>
      <w:b/>
      <w:sz w:val="22"/>
      <w:szCs w:val="24"/>
    </w:rPr>
  </w:style>
  <w:style w:type="paragraph" w:customStyle="1" w:styleId="BoxTextWhite">
    <w:name w:val="Box Text White"/>
    <w:basedOn w:val="Normal"/>
    <w:link w:val="BoxTextWhiteChar"/>
    <w:rsid w:val="00044342"/>
    <w:pPr>
      <w:spacing w:before="120"/>
    </w:pPr>
    <w:rPr>
      <w:rFonts w:asciiTheme="majorHAnsi" w:hAnsiTheme="majorHAnsi" w:cstheme="majorHAnsi"/>
      <w:sz w:val="20"/>
      <w:szCs w:val="20"/>
    </w:rPr>
  </w:style>
  <w:style w:type="character" w:customStyle="1" w:styleId="BoxHedWhiteChar">
    <w:name w:val="Box Hed White Char"/>
    <w:basedOn w:val="DefaultParagraphFont"/>
    <w:link w:val="BoxHedWhite"/>
    <w:rsid w:val="007A250A"/>
    <w:rPr>
      <w:rFonts w:asciiTheme="majorHAnsi" w:hAnsiTheme="majorHAnsi" w:cstheme="majorHAnsi"/>
      <w:b/>
      <w:szCs w:val="24"/>
    </w:rPr>
  </w:style>
  <w:style w:type="paragraph" w:customStyle="1" w:styleId="BoxBullet10">
    <w:name w:val="Box Bullet 1"/>
    <w:basedOn w:val="ListBullet"/>
    <w:link w:val="BoxBullet1Char"/>
    <w:rsid w:val="00044342"/>
    <w:pPr>
      <w:numPr>
        <w:numId w:val="1"/>
      </w:numPr>
      <w:ind w:left="216" w:hanging="216"/>
    </w:pPr>
    <w:rPr>
      <w:rFonts w:asciiTheme="majorHAnsi" w:hAnsiTheme="majorHAnsi" w:cstheme="majorHAnsi"/>
      <w:sz w:val="20"/>
      <w:szCs w:val="20"/>
    </w:rPr>
  </w:style>
  <w:style w:type="character" w:customStyle="1" w:styleId="BoxTextWhiteChar">
    <w:name w:val="Box Text White Char"/>
    <w:basedOn w:val="DefaultParagraphFont"/>
    <w:link w:val="BoxTextWhite"/>
    <w:rsid w:val="00044342"/>
    <w:rPr>
      <w:rFonts w:asciiTheme="majorHAnsi" w:hAnsiTheme="majorHAnsi" w:cstheme="majorHAnsi"/>
      <w:sz w:val="20"/>
      <w:szCs w:val="20"/>
    </w:rPr>
  </w:style>
  <w:style w:type="character" w:customStyle="1" w:styleId="ListParagraphChar">
    <w:name w:val="List Paragraph Char"/>
    <w:basedOn w:val="DefaultParagraphFont"/>
    <w:link w:val="ListParagraph"/>
    <w:uiPriority w:val="34"/>
    <w:rsid w:val="001512D8"/>
  </w:style>
  <w:style w:type="character" w:customStyle="1" w:styleId="BoxBullet1Char">
    <w:name w:val="Box Bullet 1 Char"/>
    <w:basedOn w:val="ListParagraphChar"/>
    <w:link w:val="BoxBullet10"/>
    <w:rsid w:val="00044342"/>
    <w:rPr>
      <w:rFonts w:asciiTheme="majorHAnsi" w:hAnsiTheme="majorHAnsi" w:cstheme="majorHAnsi"/>
      <w:sz w:val="20"/>
      <w:szCs w:val="20"/>
    </w:rPr>
  </w:style>
  <w:style w:type="paragraph" w:styleId="ListBullet">
    <w:name w:val="List Bullet"/>
    <w:basedOn w:val="Normal"/>
    <w:uiPriority w:val="99"/>
    <w:semiHidden/>
    <w:unhideWhenUsed/>
    <w:rsid w:val="001512D8"/>
    <w:pPr>
      <w:numPr>
        <w:numId w:val="2"/>
      </w:numPr>
      <w:contextualSpacing/>
    </w:pPr>
  </w:style>
  <w:style w:type="character" w:customStyle="1" w:styleId="Heading1Char">
    <w:name w:val="Heading 1 Char"/>
    <w:basedOn w:val="DefaultParagraphFont"/>
    <w:link w:val="Heading1"/>
    <w:uiPriority w:val="9"/>
    <w:rsid w:val="008735E4"/>
    <w:rPr>
      <w:rFonts w:asciiTheme="majorHAnsi" w:eastAsiaTheme="majorEastAsia" w:hAnsiTheme="majorHAnsi" w:cstheme="majorBidi"/>
      <w:b/>
      <w:bCs/>
      <w:color w:val="002F80" w:themeColor="text2"/>
      <w:sz w:val="28"/>
      <w:szCs w:val="28"/>
    </w:rPr>
  </w:style>
  <w:style w:type="character" w:customStyle="1" w:styleId="Heading2Char">
    <w:name w:val="Heading 2 Char"/>
    <w:basedOn w:val="DefaultParagraphFont"/>
    <w:link w:val="Heading2"/>
    <w:uiPriority w:val="9"/>
    <w:rsid w:val="008735E4"/>
    <w:rPr>
      <w:rFonts w:asciiTheme="majorHAnsi" w:eastAsiaTheme="majorEastAsia" w:hAnsiTheme="majorHAnsi" w:cstheme="majorBidi"/>
      <w:bCs/>
      <w:i/>
      <w:color w:val="002F80" w:themeColor="text2"/>
      <w:sz w:val="28"/>
      <w:szCs w:val="26"/>
    </w:rPr>
  </w:style>
  <w:style w:type="character" w:customStyle="1" w:styleId="Heading3Char">
    <w:name w:val="Heading 3 Char"/>
    <w:basedOn w:val="DefaultParagraphFont"/>
    <w:link w:val="Heading3"/>
    <w:uiPriority w:val="9"/>
    <w:rsid w:val="008735E4"/>
    <w:rPr>
      <w:rFonts w:asciiTheme="majorHAnsi" w:eastAsiaTheme="majorEastAsia" w:hAnsiTheme="majorHAnsi" w:cstheme="majorBidi"/>
      <w:b/>
      <w:bCs/>
      <w:color w:val="0070B2" w:themeColor="accent6"/>
      <w:sz w:val="24"/>
    </w:rPr>
  </w:style>
  <w:style w:type="character" w:customStyle="1" w:styleId="Heading4Char">
    <w:name w:val="Heading 4 Char"/>
    <w:basedOn w:val="DefaultParagraphFont"/>
    <w:link w:val="Heading4"/>
    <w:uiPriority w:val="9"/>
    <w:rsid w:val="008735E4"/>
    <w:rPr>
      <w:rFonts w:asciiTheme="majorHAnsi" w:eastAsiaTheme="majorEastAsia" w:hAnsiTheme="majorHAnsi" w:cstheme="majorBidi"/>
      <w:bCs/>
      <w:i/>
      <w:iCs/>
      <w:color w:val="0070B2" w:themeColor="accent6"/>
      <w:sz w:val="24"/>
    </w:rPr>
  </w:style>
  <w:style w:type="character" w:customStyle="1" w:styleId="Heading5Char">
    <w:name w:val="Heading 5 Char"/>
    <w:basedOn w:val="DefaultParagraphFont"/>
    <w:link w:val="Heading5"/>
    <w:uiPriority w:val="9"/>
    <w:rsid w:val="00445E71"/>
    <w:rPr>
      <w:rFonts w:asciiTheme="majorHAnsi" w:eastAsiaTheme="majorEastAsia" w:hAnsiTheme="majorHAnsi" w:cstheme="majorBidi"/>
      <w:color w:val="00173F" w:themeColor="accent1" w:themeShade="7F"/>
      <w:sz w:val="24"/>
    </w:rPr>
  </w:style>
  <w:style w:type="character" w:customStyle="1" w:styleId="Heading6Char">
    <w:name w:val="Heading 6 Char"/>
    <w:basedOn w:val="DefaultParagraphFont"/>
    <w:link w:val="Heading6"/>
    <w:uiPriority w:val="9"/>
    <w:semiHidden/>
    <w:rsid w:val="00445E71"/>
    <w:rPr>
      <w:rFonts w:asciiTheme="majorHAnsi" w:eastAsiaTheme="majorEastAsia" w:hAnsiTheme="majorHAnsi" w:cstheme="majorBidi"/>
      <w:i/>
      <w:iCs/>
      <w:color w:val="00173F" w:themeColor="accent1" w:themeShade="7F"/>
      <w:sz w:val="24"/>
    </w:rPr>
  </w:style>
  <w:style w:type="character" w:customStyle="1" w:styleId="Heading7Char">
    <w:name w:val="Heading 7 Char"/>
    <w:basedOn w:val="DefaultParagraphFont"/>
    <w:link w:val="Heading7"/>
    <w:uiPriority w:val="9"/>
    <w:semiHidden/>
    <w:rsid w:val="00445E71"/>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445E7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45E71"/>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ListParagraph"/>
    <w:link w:val="Bullet1Char"/>
    <w:qFormat/>
    <w:rsid w:val="000F55C9"/>
    <w:pPr>
      <w:ind w:left="0"/>
      <w:contextualSpacing w:val="0"/>
    </w:pPr>
  </w:style>
  <w:style w:type="paragraph" w:customStyle="1" w:styleId="Bullet2">
    <w:name w:val="Bullet 2"/>
    <w:basedOn w:val="Bullet1"/>
    <w:link w:val="Bullet2Char"/>
    <w:qFormat/>
    <w:rsid w:val="00103B1F"/>
    <w:pPr>
      <w:numPr>
        <w:ilvl w:val="1"/>
      </w:numPr>
    </w:pPr>
  </w:style>
  <w:style w:type="character" w:customStyle="1" w:styleId="Bullet1Char">
    <w:name w:val="Bullet 1 Char"/>
    <w:basedOn w:val="ListParagraphChar"/>
    <w:link w:val="Bullet1"/>
    <w:rsid w:val="000F55C9"/>
    <w:rPr>
      <w:sz w:val="24"/>
    </w:rPr>
  </w:style>
  <w:style w:type="paragraph" w:customStyle="1" w:styleId="Bullet3">
    <w:name w:val="Bullet 3"/>
    <w:basedOn w:val="Bullet2"/>
    <w:link w:val="Bullet3Char"/>
    <w:qFormat/>
    <w:rsid w:val="00103B1F"/>
    <w:pPr>
      <w:numPr>
        <w:ilvl w:val="2"/>
      </w:numPr>
      <w:ind w:left="1440"/>
    </w:pPr>
  </w:style>
  <w:style w:type="character" w:customStyle="1" w:styleId="Bullet2Char">
    <w:name w:val="Bullet 2 Char"/>
    <w:basedOn w:val="Bullet1Char"/>
    <w:link w:val="Bullet2"/>
    <w:rsid w:val="00103B1F"/>
    <w:rPr>
      <w:sz w:val="24"/>
    </w:rPr>
  </w:style>
  <w:style w:type="character" w:customStyle="1" w:styleId="Bullet3Char">
    <w:name w:val="Bullet 3 Char"/>
    <w:basedOn w:val="Bullet2Char"/>
    <w:link w:val="Bullet3"/>
    <w:rsid w:val="00103B1F"/>
    <w:rPr>
      <w:sz w:val="24"/>
    </w:rPr>
  </w:style>
  <w:style w:type="paragraph" w:styleId="NoSpacing">
    <w:name w:val="No Spacing"/>
    <w:link w:val="NoSpacingChar"/>
    <w:uiPriority w:val="99"/>
    <w:rsid w:val="00881CAC"/>
    <w:pPr>
      <w:spacing w:after="0"/>
    </w:pPr>
    <w:rPr>
      <w:rFonts w:ascii="Times New Roman" w:eastAsia="Times New Roman" w:hAnsi="Times New Roman" w:cs="Times New Roman"/>
      <w:sz w:val="24"/>
      <w:szCs w:val="24"/>
    </w:rPr>
  </w:style>
  <w:style w:type="paragraph" w:styleId="Caption">
    <w:name w:val="caption"/>
    <w:basedOn w:val="Normal"/>
    <w:next w:val="Normal"/>
    <w:link w:val="CaptionChar"/>
    <w:uiPriority w:val="35"/>
    <w:unhideWhenUsed/>
    <w:qFormat/>
    <w:rsid w:val="00774A46"/>
    <w:pPr>
      <w:keepNext/>
      <w:jc w:val="center"/>
    </w:pPr>
    <w:rPr>
      <w:rFonts w:asciiTheme="majorHAnsi" w:hAnsiTheme="majorHAnsi" w:cstheme="majorHAnsi"/>
      <w:b/>
      <w:bCs/>
      <w:color w:val="002F80" w:themeColor="accent1"/>
      <w:sz w:val="20"/>
      <w:szCs w:val="20"/>
    </w:rPr>
  </w:style>
  <w:style w:type="character" w:customStyle="1" w:styleId="CaptionChar">
    <w:name w:val="Caption Char"/>
    <w:basedOn w:val="DefaultParagraphFont"/>
    <w:link w:val="Caption"/>
    <w:uiPriority w:val="35"/>
    <w:rsid w:val="00774A46"/>
    <w:rPr>
      <w:rFonts w:asciiTheme="majorHAnsi" w:hAnsiTheme="majorHAnsi" w:cstheme="majorHAnsi"/>
      <w:b/>
      <w:bCs/>
      <w:color w:val="002F80" w:themeColor="accent1"/>
      <w:sz w:val="20"/>
      <w:szCs w:val="20"/>
    </w:rPr>
  </w:style>
  <w:style w:type="character" w:customStyle="1" w:styleId="NoSpacingChar">
    <w:name w:val="No Spacing Char"/>
    <w:basedOn w:val="DefaultParagraphFont"/>
    <w:link w:val="NoSpacing"/>
    <w:uiPriority w:val="99"/>
    <w:locked/>
    <w:rsid w:val="00881C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1CAC"/>
    <w:rPr>
      <w:rFonts w:ascii="Tahoma" w:hAnsi="Tahoma" w:cs="Tahoma"/>
      <w:sz w:val="16"/>
      <w:szCs w:val="16"/>
    </w:rPr>
  </w:style>
  <w:style w:type="character" w:customStyle="1" w:styleId="BalloonTextChar">
    <w:name w:val="Balloon Text Char"/>
    <w:basedOn w:val="DefaultParagraphFont"/>
    <w:link w:val="BalloonText"/>
    <w:uiPriority w:val="99"/>
    <w:semiHidden/>
    <w:rsid w:val="00881CAC"/>
    <w:rPr>
      <w:rFonts w:ascii="Tahoma" w:hAnsi="Tahoma" w:cs="Tahoma"/>
      <w:sz w:val="16"/>
      <w:szCs w:val="16"/>
    </w:rPr>
  </w:style>
  <w:style w:type="paragraph" w:styleId="Title">
    <w:name w:val="Title"/>
    <w:basedOn w:val="Normal"/>
    <w:next w:val="Normal"/>
    <w:link w:val="TitleChar"/>
    <w:uiPriority w:val="10"/>
    <w:qFormat/>
    <w:rsid w:val="008735E4"/>
    <w:pPr>
      <w:spacing w:after="0"/>
      <w:contextualSpacing/>
    </w:pPr>
    <w:rPr>
      <w:rFonts w:ascii="Arial" w:eastAsia="Times New Roman" w:hAnsi="Arial" w:cs="Times New Roman"/>
      <w:b/>
      <w:color w:val="002F80"/>
      <w:spacing w:val="5"/>
      <w:kern w:val="28"/>
      <w:sz w:val="36"/>
      <w:szCs w:val="52"/>
    </w:rPr>
  </w:style>
  <w:style w:type="character" w:customStyle="1" w:styleId="TitleChar">
    <w:name w:val="Title Char"/>
    <w:basedOn w:val="DefaultParagraphFont"/>
    <w:link w:val="Title"/>
    <w:uiPriority w:val="10"/>
    <w:rsid w:val="008735E4"/>
    <w:rPr>
      <w:rFonts w:ascii="Arial" w:eastAsia="Times New Roman" w:hAnsi="Arial" w:cs="Times New Roman"/>
      <w:b/>
      <w:color w:val="002F80"/>
      <w:spacing w:val="5"/>
      <w:kern w:val="28"/>
      <w:sz w:val="36"/>
      <w:szCs w:val="52"/>
    </w:rPr>
  </w:style>
  <w:style w:type="paragraph" w:styleId="Subtitle">
    <w:name w:val="Subtitle"/>
    <w:basedOn w:val="Normal"/>
    <w:next w:val="Normal"/>
    <w:link w:val="SubtitleChar"/>
    <w:uiPriority w:val="11"/>
    <w:qFormat/>
    <w:rsid w:val="008735E4"/>
    <w:pPr>
      <w:numPr>
        <w:ilvl w:val="1"/>
      </w:numPr>
      <w:pBdr>
        <w:bottom w:val="single" w:sz="18" w:space="1" w:color="B0B1B3"/>
      </w:pBdr>
      <w:spacing w:after="360"/>
    </w:pPr>
    <w:rPr>
      <w:rFonts w:ascii="Arial" w:eastAsia="Times New Roman" w:hAnsi="Arial" w:cs="Times New Roman"/>
      <w:i/>
      <w:iCs/>
      <w:color w:val="002F80"/>
      <w:spacing w:val="15"/>
      <w:sz w:val="28"/>
      <w:szCs w:val="24"/>
    </w:rPr>
  </w:style>
  <w:style w:type="character" w:customStyle="1" w:styleId="SubtitleChar">
    <w:name w:val="Subtitle Char"/>
    <w:basedOn w:val="DefaultParagraphFont"/>
    <w:link w:val="Subtitle"/>
    <w:uiPriority w:val="11"/>
    <w:rsid w:val="008735E4"/>
    <w:rPr>
      <w:rFonts w:ascii="Arial" w:eastAsia="Times New Roman" w:hAnsi="Arial" w:cs="Times New Roman"/>
      <w:i/>
      <w:iCs/>
      <w:color w:val="002F80"/>
      <w:spacing w:val="15"/>
      <w:sz w:val="28"/>
      <w:szCs w:val="24"/>
    </w:rPr>
  </w:style>
  <w:style w:type="paragraph" w:styleId="TOCHeading">
    <w:name w:val="TOC Heading"/>
    <w:basedOn w:val="Heading1"/>
    <w:next w:val="Normal"/>
    <w:uiPriority w:val="39"/>
    <w:unhideWhenUsed/>
    <w:qFormat/>
    <w:rsid w:val="00103B1F"/>
    <w:pPr>
      <w:spacing w:line="276" w:lineRule="auto"/>
      <w:outlineLvl w:val="9"/>
    </w:pPr>
    <w:rPr>
      <w:lang w:eastAsia="ja-JP"/>
    </w:rPr>
  </w:style>
  <w:style w:type="paragraph" w:styleId="TOC1">
    <w:name w:val="toc 1"/>
    <w:basedOn w:val="Normal"/>
    <w:next w:val="Normal"/>
    <w:autoRedefine/>
    <w:uiPriority w:val="39"/>
    <w:unhideWhenUsed/>
    <w:rsid w:val="00C41D1E"/>
    <w:pPr>
      <w:spacing w:after="100"/>
    </w:pPr>
  </w:style>
  <w:style w:type="paragraph" w:styleId="TOC2">
    <w:name w:val="toc 2"/>
    <w:basedOn w:val="Normal"/>
    <w:next w:val="Normal"/>
    <w:autoRedefine/>
    <w:uiPriority w:val="39"/>
    <w:unhideWhenUsed/>
    <w:rsid w:val="00C41D1E"/>
    <w:pPr>
      <w:spacing w:after="100"/>
      <w:ind w:left="220"/>
    </w:pPr>
  </w:style>
  <w:style w:type="paragraph" w:styleId="TOC3">
    <w:name w:val="toc 3"/>
    <w:basedOn w:val="Normal"/>
    <w:next w:val="Normal"/>
    <w:autoRedefine/>
    <w:uiPriority w:val="39"/>
    <w:unhideWhenUsed/>
    <w:rsid w:val="00C41D1E"/>
    <w:pPr>
      <w:spacing w:after="100"/>
      <w:ind w:left="440"/>
    </w:pPr>
  </w:style>
  <w:style w:type="character" w:styleId="Hyperlink">
    <w:name w:val="Hyperlink"/>
    <w:basedOn w:val="DefaultParagraphFont"/>
    <w:uiPriority w:val="99"/>
    <w:unhideWhenUsed/>
    <w:rsid w:val="00C41D1E"/>
    <w:rPr>
      <w:color w:val="0000FF" w:themeColor="hyperlink"/>
      <w:u w:val="single"/>
    </w:rPr>
  </w:style>
  <w:style w:type="paragraph" w:customStyle="1" w:styleId="Boxbullet1">
    <w:name w:val="Box bullet 1"/>
    <w:basedOn w:val="NoSpacing"/>
    <w:link w:val="Boxbullet1Char0"/>
    <w:qFormat/>
    <w:rsid w:val="007A250A"/>
    <w:pPr>
      <w:numPr>
        <w:numId w:val="4"/>
      </w:numPr>
      <w:spacing w:after="60"/>
      <w:ind w:left="432" w:hanging="216"/>
    </w:pPr>
    <w:rPr>
      <w:rFonts w:ascii="Arial" w:hAnsi="Arial" w:cs="Arial"/>
      <w:sz w:val="20"/>
    </w:rPr>
  </w:style>
  <w:style w:type="character" w:customStyle="1" w:styleId="Boxbullet1Char0">
    <w:name w:val="Box bullet 1 Char"/>
    <w:basedOn w:val="NoSpacingChar"/>
    <w:link w:val="Boxbullet1"/>
    <w:rsid w:val="007A250A"/>
    <w:rPr>
      <w:rFonts w:ascii="Arial" w:eastAsia="Times New Roman" w:hAnsi="Arial" w:cs="Arial"/>
      <w:sz w:val="20"/>
      <w:szCs w:val="24"/>
    </w:rPr>
  </w:style>
  <w:style w:type="paragraph" w:customStyle="1" w:styleId="Boxtext">
    <w:name w:val="Box text"/>
    <w:basedOn w:val="Normal"/>
    <w:link w:val="BoxtextChar"/>
    <w:qFormat/>
    <w:rsid w:val="00044342"/>
    <w:rPr>
      <w:rFonts w:ascii="Arial" w:eastAsia="Times New Roman" w:hAnsi="Arial" w:cs="Arial"/>
      <w:sz w:val="20"/>
      <w:szCs w:val="20"/>
    </w:rPr>
  </w:style>
  <w:style w:type="character" w:customStyle="1" w:styleId="BoxtextChar">
    <w:name w:val="Box text Char"/>
    <w:basedOn w:val="DefaultParagraphFont"/>
    <w:link w:val="Boxtext"/>
    <w:rsid w:val="00044342"/>
    <w:rPr>
      <w:rFonts w:ascii="Arial" w:eastAsia="Times New Roman" w:hAnsi="Arial" w:cs="Arial"/>
      <w:sz w:val="20"/>
      <w:szCs w:val="20"/>
    </w:rPr>
  </w:style>
  <w:style w:type="paragraph" w:customStyle="1" w:styleId="TableHedWhite">
    <w:name w:val="Table Hed White"/>
    <w:basedOn w:val="Normal"/>
    <w:link w:val="TableHedWhiteChar"/>
    <w:qFormat/>
    <w:rsid w:val="00C65666"/>
    <w:pPr>
      <w:spacing w:after="0"/>
      <w:jc w:val="center"/>
    </w:pPr>
    <w:rPr>
      <w:rFonts w:ascii="Arial" w:hAnsi="Arial"/>
    </w:rPr>
  </w:style>
  <w:style w:type="paragraph" w:customStyle="1" w:styleId="TableBullet1">
    <w:name w:val="Table Bullet 1"/>
    <w:basedOn w:val="ListParagraph"/>
    <w:link w:val="TableBullet1Char"/>
    <w:qFormat/>
    <w:rsid w:val="000C6B2E"/>
    <w:pPr>
      <w:numPr>
        <w:numId w:val="7"/>
      </w:numPr>
      <w:spacing w:after="60"/>
      <w:ind w:left="216" w:hanging="216"/>
      <w:contextualSpacing w:val="0"/>
    </w:pPr>
    <w:rPr>
      <w:rFonts w:ascii="Arial" w:hAnsi="Arial"/>
      <w:sz w:val="20"/>
    </w:rPr>
  </w:style>
  <w:style w:type="character" w:customStyle="1" w:styleId="TableHedWhiteChar">
    <w:name w:val="Table Hed White Char"/>
    <w:basedOn w:val="DefaultParagraphFont"/>
    <w:link w:val="TableHedWhite"/>
    <w:rsid w:val="00C65666"/>
    <w:rPr>
      <w:rFonts w:ascii="Arial" w:hAnsi="Arial"/>
      <w:sz w:val="24"/>
    </w:rPr>
  </w:style>
  <w:style w:type="paragraph" w:customStyle="1" w:styleId="TableText">
    <w:name w:val="Table Text"/>
    <w:basedOn w:val="Normal"/>
    <w:link w:val="TableTextChar"/>
    <w:qFormat/>
    <w:rsid w:val="000F55C9"/>
    <w:rPr>
      <w:rFonts w:ascii="Arial" w:hAnsi="Arial"/>
      <w:sz w:val="20"/>
    </w:rPr>
  </w:style>
  <w:style w:type="character" w:customStyle="1" w:styleId="TableBullet1Char">
    <w:name w:val="Table Bullet 1 Char"/>
    <w:basedOn w:val="ListParagraphChar"/>
    <w:link w:val="TableBullet1"/>
    <w:rsid w:val="000C6B2E"/>
    <w:rPr>
      <w:rFonts w:ascii="Arial" w:hAnsi="Arial"/>
      <w:sz w:val="20"/>
    </w:rPr>
  </w:style>
  <w:style w:type="character" w:customStyle="1" w:styleId="TableTextChar">
    <w:name w:val="Table Text Char"/>
    <w:basedOn w:val="DefaultParagraphFont"/>
    <w:link w:val="TableText"/>
    <w:rsid w:val="000F55C9"/>
    <w:rPr>
      <w:rFonts w:ascii="Arial" w:hAnsi="Arial"/>
      <w:sz w:val="20"/>
    </w:rPr>
  </w:style>
  <w:style w:type="paragraph" w:customStyle="1" w:styleId="Number1">
    <w:name w:val="Number 1"/>
    <w:basedOn w:val="ListParagraph"/>
    <w:link w:val="Number1Char"/>
    <w:qFormat/>
    <w:rsid w:val="00C65666"/>
    <w:pPr>
      <w:ind w:left="0"/>
      <w:contextualSpacing w:val="0"/>
    </w:pPr>
  </w:style>
  <w:style w:type="paragraph" w:customStyle="1" w:styleId="Number2">
    <w:name w:val="Number 2"/>
    <w:basedOn w:val="ListParagraph"/>
    <w:link w:val="Number2Char"/>
    <w:qFormat/>
    <w:rsid w:val="00C65666"/>
    <w:pPr>
      <w:numPr>
        <w:ilvl w:val="1"/>
        <w:numId w:val="5"/>
      </w:numPr>
    </w:pPr>
  </w:style>
  <w:style w:type="character" w:customStyle="1" w:styleId="Number1Char">
    <w:name w:val="Number 1 Char"/>
    <w:basedOn w:val="ListParagraphChar"/>
    <w:link w:val="Number1"/>
    <w:rsid w:val="00C65666"/>
    <w:rPr>
      <w:sz w:val="24"/>
    </w:rPr>
  </w:style>
  <w:style w:type="paragraph" w:customStyle="1" w:styleId="Number3">
    <w:name w:val="Number 3"/>
    <w:basedOn w:val="ListParagraph"/>
    <w:link w:val="Number3Char"/>
    <w:qFormat/>
    <w:rsid w:val="00BB5448"/>
    <w:pPr>
      <w:numPr>
        <w:ilvl w:val="2"/>
        <w:numId w:val="5"/>
      </w:numPr>
    </w:pPr>
  </w:style>
  <w:style w:type="character" w:customStyle="1" w:styleId="Number2Char">
    <w:name w:val="Number 2 Char"/>
    <w:basedOn w:val="ListParagraphChar"/>
    <w:link w:val="Number2"/>
    <w:rsid w:val="00C65666"/>
    <w:rPr>
      <w:sz w:val="24"/>
    </w:rPr>
  </w:style>
  <w:style w:type="character" w:customStyle="1" w:styleId="Number3Char">
    <w:name w:val="Number 3 Char"/>
    <w:basedOn w:val="ListParagraphChar"/>
    <w:link w:val="Number3"/>
    <w:rsid w:val="00BB5448"/>
    <w:rPr>
      <w:sz w:val="24"/>
    </w:rPr>
  </w:style>
  <w:style w:type="paragraph" w:customStyle="1" w:styleId="Appendix1">
    <w:name w:val="Appendix 1"/>
    <w:basedOn w:val="Heading1"/>
    <w:next w:val="Normal"/>
    <w:link w:val="Appendix1Char"/>
    <w:qFormat/>
    <w:rsid w:val="008C753E"/>
    <w:pPr>
      <w:pageBreakBefore/>
      <w:spacing w:before="0"/>
    </w:pPr>
  </w:style>
  <w:style w:type="paragraph" w:customStyle="1" w:styleId="Appendix2">
    <w:name w:val="Appendix 2"/>
    <w:basedOn w:val="Heading2"/>
    <w:next w:val="Normal"/>
    <w:link w:val="Appendix2Char"/>
    <w:qFormat/>
    <w:rsid w:val="007109E3"/>
    <w:pPr>
      <w:ind w:left="432" w:hanging="432"/>
    </w:pPr>
  </w:style>
  <w:style w:type="character" w:customStyle="1" w:styleId="Appendix1Char">
    <w:name w:val="Appendix 1 Char"/>
    <w:basedOn w:val="Heading1Char"/>
    <w:link w:val="Appendix1"/>
    <w:rsid w:val="008C753E"/>
    <w:rPr>
      <w:rFonts w:asciiTheme="majorHAnsi" w:eastAsiaTheme="majorEastAsia" w:hAnsiTheme="majorHAnsi" w:cstheme="majorBidi"/>
      <w:b/>
      <w:bCs/>
      <w:color w:val="002F80" w:themeColor="text2"/>
      <w:sz w:val="32"/>
      <w:szCs w:val="28"/>
    </w:rPr>
  </w:style>
  <w:style w:type="paragraph" w:customStyle="1" w:styleId="Appendix3">
    <w:name w:val="Appendix 3"/>
    <w:basedOn w:val="Heading3"/>
    <w:next w:val="Normal"/>
    <w:link w:val="Appendix3Char"/>
    <w:qFormat/>
    <w:rsid w:val="008735E4"/>
    <w:pPr>
      <w:spacing w:after="0"/>
      <w:ind w:left="432" w:hanging="432"/>
    </w:pPr>
  </w:style>
  <w:style w:type="character" w:customStyle="1" w:styleId="Appendix2Char">
    <w:name w:val="Appendix 2 Char"/>
    <w:basedOn w:val="Heading2Char"/>
    <w:link w:val="Appendix2"/>
    <w:rsid w:val="007109E3"/>
    <w:rPr>
      <w:rFonts w:asciiTheme="majorHAnsi" w:eastAsiaTheme="majorEastAsia" w:hAnsiTheme="majorHAnsi" w:cstheme="majorBidi"/>
      <w:b w:val="0"/>
      <w:bCs/>
      <w:i/>
      <w:color w:val="002F80" w:themeColor="text2"/>
      <w:sz w:val="28"/>
      <w:szCs w:val="26"/>
    </w:rPr>
  </w:style>
  <w:style w:type="paragraph" w:customStyle="1" w:styleId="Appendix4">
    <w:name w:val="Appendix 4"/>
    <w:basedOn w:val="Heading4"/>
    <w:next w:val="Normal"/>
    <w:link w:val="Appendix4Char"/>
    <w:qFormat/>
    <w:rsid w:val="007109E3"/>
    <w:pPr>
      <w:ind w:left="432" w:hanging="432"/>
    </w:pPr>
  </w:style>
  <w:style w:type="character" w:customStyle="1" w:styleId="Appendix3Char">
    <w:name w:val="Appendix 3 Char"/>
    <w:basedOn w:val="Heading3Char"/>
    <w:link w:val="Appendix3"/>
    <w:rsid w:val="008735E4"/>
    <w:rPr>
      <w:rFonts w:asciiTheme="majorHAnsi" w:eastAsiaTheme="majorEastAsia" w:hAnsiTheme="majorHAnsi" w:cstheme="majorBidi"/>
      <w:b/>
      <w:bCs/>
      <w:color w:val="0070B2" w:themeColor="accent6"/>
      <w:sz w:val="24"/>
    </w:rPr>
  </w:style>
  <w:style w:type="character" w:customStyle="1" w:styleId="Appendix4Char">
    <w:name w:val="Appendix 4 Char"/>
    <w:basedOn w:val="Heading4Char"/>
    <w:link w:val="Appendix4"/>
    <w:rsid w:val="007109E3"/>
    <w:rPr>
      <w:rFonts w:asciiTheme="majorHAnsi" w:eastAsiaTheme="majorEastAsia" w:hAnsiTheme="majorHAnsi" w:cstheme="majorBidi"/>
      <w:b w:val="0"/>
      <w:bCs/>
      <w:i/>
      <w:iCs/>
      <w:color w:val="002F80" w:themeColor="accent1"/>
      <w:sz w:val="24"/>
    </w:rPr>
  </w:style>
  <w:style w:type="paragraph" w:styleId="NormalWeb">
    <w:name w:val="Normal (Web)"/>
    <w:basedOn w:val="Normal"/>
    <w:uiPriority w:val="99"/>
    <w:semiHidden/>
    <w:unhideWhenUsed/>
    <w:rsid w:val="00535ED5"/>
    <w:pPr>
      <w:spacing w:before="100" w:beforeAutospacing="1" w:after="100" w:afterAutospacing="1"/>
    </w:pPr>
    <w:rPr>
      <w:rFonts w:ascii="Times New Roman" w:eastAsiaTheme="minorEastAsia" w:hAnsi="Times New Roman" w:cs="Times New Roman"/>
      <w:szCs w:val="24"/>
    </w:rPr>
  </w:style>
  <w:style w:type="paragraph" w:styleId="EndnoteText">
    <w:name w:val="endnote text"/>
    <w:basedOn w:val="Normal"/>
    <w:link w:val="EndnoteTextChar"/>
    <w:uiPriority w:val="99"/>
    <w:semiHidden/>
    <w:unhideWhenUsed/>
    <w:rsid w:val="00912A79"/>
    <w:pPr>
      <w:spacing w:after="0"/>
    </w:pPr>
    <w:rPr>
      <w:sz w:val="20"/>
      <w:szCs w:val="20"/>
    </w:rPr>
  </w:style>
  <w:style w:type="character" w:customStyle="1" w:styleId="EndnoteTextChar">
    <w:name w:val="Endnote Text Char"/>
    <w:basedOn w:val="DefaultParagraphFont"/>
    <w:link w:val="EndnoteText"/>
    <w:uiPriority w:val="99"/>
    <w:semiHidden/>
    <w:rsid w:val="00912A79"/>
    <w:rPr>
      <w:sz w:val="20"/>
      <w:szCs w:val="20"/>
    </w:rPr>
  </w:style>
  <w:style w:type="character" w:styleId="EndnoteReference">
    <w:name w:val="endnote reference"/>
    <w:basedOn w:val="DefaultParagraphFont"/>
    <w:uiPriority w:val="99"/>
    <w:semiHidden/>
    <w:unhideWhenUsed/>
    <w:rsid w:val="00912A79"/>
    <w:rPr>
      <w:vertAlign w:val="superscript"/>
    </w:rPr>
  </w:style>
  <w:style w:type="paragraph" w:styleId="FootnoteText">
    <w:name w:val="footnote text"/>
    <w:aliases w:val="rFootnote Text"/>
    <w:basedOn w:val="Normal"/>
    <w:link w:val="FootnoteTextChar"/>
    <w:uiPriority w:val="99"/>
    <w:unhideWhenUsed/>
    <w:qFormat/>
    <w:rsid w:val="00912A79"/>
    <w:pPr>
      <w:spacing w:after="0"/>
    </w:pPr>
    <w:rPr>
      <w:sz w:val="20"/>
      <w:szCs w:val="20"/>
    </w:rPr>
  </w:style>
  <w:style w:type="character" w:customStyle="1" w:styleId="FootnoteTextChar">
    <w:name w:val="Footnote Text Char"/>
    <w:aliases w:val="rFootnote Text Char"/>
    <w:basedOn w:val="DefaultParagraphFont"/>
    <w:link w:val="FootnoteText"/>
    <w:uiPriority w:val="99"/>
    <w:rsid w:val="00912A79"/>
    <w:rPr>
      <w:sz w:val="20"/>
      <w:szCs w:val="20"/>
    </w:rPr>
  </w:style>
  <w:style w:type="character" w:styleId="FootnoteReference">
    <w:name w:val="footnote reference"/>
    <w:aliases w:val="rFootnote Reference"/>
    <w:basedOn w:val="DefaultParagraphFont"/>
    <w:uiPriority w:val="99"/>
    <w:unhideWhenUsed/>
    <w:rsid w:val="00912A79"/>
    <w:rPr>
      <w:vertAlign w:val="superscript"/>
    </w:rPr>
  </w:style>
  <w:style w:type="character" w:styleId="CommentReference">
    <w:name w:val="annotation reference"/>
    <w:basedOn w:val="DefaultParagraphFont"/>
    <w:uiPriority w:val="99"/>
    <w:semiHidden/>
    <w:unhideWhenUsed/>
    <w:rsid w:val="00C4196B"/>
    <w:rPr>
      <w:sz w:val="16"/>
      <w:szCs w:val="16"/>
    </w:rPr>
  </w:style>
  <w:style w:type="paragraph" w:styleId="CommentText">
    <w:name w:val="annotation text"/>
    <w:basedOn w:val="Normal"/>
    <w:link w:val="CommentTextChar"/>
    <w:uiPriority w:val="99"/>
    <w:unhideWhenUsed/>
    <w:rsid w:val="00C4196B"/>
    <w:rPr>
      <w:sz w:val="20"/>
      <w:szCs w:val="20"/>
    </w:rPr>
  </w:style>
  <w:style w:type="character" w:customStyle="1" w:styleId="CommentTextChar">
    <w:name w:val="Comment Text Char"/>
    <w:basedOn w:val="DefaultParagraphFont"/>
    <w:link w:val="CommentText"/>
    <w:uiPriority w:val="99"/>
    <w:rsid w:val="00C4196B"/>
    <w:rPr>
      <w:sz w:val="20"/>
      <w:szCs w:val="20"/>
    </w:rPr>
  </w:style>
  <w:style w:type="paragraph" w:styleId="CommentSubject">
    <w:name w:val="annotation subject"/>
    <w:basedOn w:val="CommentText"/>
    <w:next w:val="CommentText"/>
    <w:link w:val="CommentSubjectChar"/>
    <w:uiPriority w:val="99"/>
    <w:semiHidden/>
    <w:unhideWhenUsed/>
    <w:rsid w:val="00C4196B"/>
    <w:rPr>
      <w:b/>
      <w:bCs/>
    </w:rPr>
  </w:style>
  <w:style w:type="character" w:customStyle="1" w:styleId="CommentSubjectChar">
    <w:name w:val="Comment Subject Char"/>
    <w:basedOn w:val="CommentTextChar"/>
    <w:link w:val="CommentSubject"/>
    <w:uiPriority w:val="99"/>
    <w:semiHidden/>
    <w:rsid w:val="00C4196B"/>
    <w:rPr>
      <w:b/>
      <w:bCs/>
      <w:sz w:val="20"/>
      <w:szCs w:val="20"/>
    </w:rPr>
  </w:style>
  <w:style w:type="paragraph" w:styleId="BodyText">
    <w:name w:val="Body Text"/>
    <w:basedOn w:val="Normal"/>
    <w:link w:val="BodyTextChar"/>
    <w:uiPriority w:val="99"/>
    <w:unhideWhenUsed/>
    <w:rsid w:val="00982CCF"/>
  </w:style>
  <w:style w:type="character" w:customStyle="1" w:styleId="BodyTextChar">
    <w:name w:val="Body Text Char"/>
    <w:basedOn w:val="DefaultParagraphFont"/>
    <w:link w:val="BodyText"/>
    <w:uiPriority w:val="99"/>
    <w:rsid w:val="00982CCF"/>
    <w:rPr>
      <w:sz w:val="24"/>
    </w:rPr>
  </w:style>
  <w:style w:type="paragraph" w:customStyle="1" w:styleId="BulletSquare">
    <w:name w:val="BulletSquare"/>
    <w:basedOn w:val="BodyText"/>
    <w:uiPriority w:val="99"/>
    <w:rsid w:val="00982CCF"/>
    <w:pPr>
      <w:numPr>
        <w:numId w:val="8"/>
      </w:numPr>
      <w:tabs>
        <w:tab w:val="clear" w:pos="1440"/>
      </w:tabs>
      <w:spacing w:before="120" w:after="0"/>
    </w:pPr>
    <w:rPr>
      <w:rFonts w:ascii="Arial" w:eastAsia="Times New Roman" w:hAnsi="Arial" w:cs="Arial"/>
      <w:noProof/>
      <w:szCs w:val="20"/>
    </w:rPr>
  </w:style>
  <w:style w:type="paragraph" w:styleId="Revision">
    <w:name w:val="Revision"/>
    <w:hidden/>
    <w:uiPriority w:val="99"/>
    <w:semiHidden/>
    <w:rsid w:val="004A6EF3"/>
    <w:pPr>
      <w:spacing w:after="0"/>
    </w:pPr>
    <w:rPr>
      <w:sz w:val="24"/>
    </w:rPr>
  </w:style>
  <w:style w:type="table" w:customStyle="1" w:styleId="TableGrid1">
    <w:name w:val="Table Grid1"/>
    <w:basedOn w:val="TableNormal"/>
    <w:next w:val="TableGrid"/>
    <w:uiPriority w:val="59"/>
    <w:rsid w:val="00C5699A"/>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83067">
      <w:bodyDiv w:val="1"/>
      <w:marLeft w:val="0"/>
      <w:marRight w:val="0"/>
      <w:marTop w:val="0"/>
      <w:marBottom w:val="0"/>
      <w:divBdr>
        <w:top w:val="none" w:sz="0" w:space="0" w:color="auto"/>
        <w:left w:val="none" w:sz="0" w:space="0" w:color="auto"/>
        <w:bottom w:val="none" w:sz="0" w:space="0" w:color="auto"/>
        <w:right w:val="none" w:sz="0" w:space="0" w:color="auto"/>
      </w:divBdr>
    </w:div>
    <w:div w:id="82607125">
      <w:bodyDiv w:val="1"/>
      <w:marLeft w:val="0"/>
      <w:marRight w:val="0"/>
      <w:marTop w:val="0"/>
      <w:marBottom w:val="0"/>
      <w:divBdr>
        <w:top w:val="none" w:sz="0" w:space="0" w:color="auto"/>
        <w:left w:val="none" w:sz="0" w:space="0" w:color="auto"/>
        <w:bottom w:val="none" w:sz="0" w:space="0" w:color="auto"/>
        <w:right w:val="none" w:sz="0" w:space="0" w:color="auto"/>
      </w:divBdr>
    </w:div>
    <w:div w:id="122161311">
      <w:bodyDiv w:val="1"/>
      <w:marLeft w:val="0"/>
      <w:marRight w:val="0"/>
      <w:marTop w:val="0"/>
      <w:marBottom w:val="0"/>
      <w:divBdr>
        <w:top w:val="none" w:sz="0" w:space="0" w:color="auto"/>
        <w:left w:val="none" w:sz="0" w:space="0" w:color="auto"/>
        <w:bottom w:val="none" w:sz="0" w:space="0" w:color="auto"/>
        <w:right w:val="none" w:sz="0" w:space="0" w:color="auto"/>
      </w:divBdr>
    </w:div>
    <w:div w:id="122504886">
      <w:bodyDiv w:val="1"/>
      <w:marLeft w:val="0"/>
      <w:marRight w:val="0"/>
      <w:marTop w:val="0"/>
      <w:marBottom w:val="0"/>
      <w:divBdr>
        <w:top w:val="none" w:sz="0" w:space="0" w:color="auto"/>
        <w:left w:val="none" w:sz="0" w:space="0" w:color="auto"/>
        <w:bottom w:val="none" w:sz="0" w:space="0" w:color="auto"/>
        <w:right w:val="none" w:sz="0" w:space="0" w:color="auto"/>
      </w:divBdr>
    </w:div>
    <w:div w:id="139395402">
      <w:bodyDiv w:val="1"/>
      <w:marLeft w:val="0"/>
      <w:marRight w:val="0"/>
      <w:marTop w:val="0"/>
      <w:marBottom w:val="0"/>
      <w:divBdr>
        <w:top w:val="none" w:sz="0" w:space="0" w:color="auto"/>
        <w:left w:val="none" w:sz="0" w:space="0" w:color="auto"/>
        <w:bottom w:val="none" w:sz="0" w:space="0" w:color="auto"/>
        <w:right w:val="none" w:sz="0" w:space="0" w:color="auto"/>
      </w:divBdr>
    </w:div>
    <w:div w:id="150485291">
      <w:bodyDiv w:val="1"/>
      <w:marLeft w:val="0"/>
      <w:marRight w:val="0"/>
      <w:marTop w:val="0"/>
      <w:marBottom w:val="0"/>
      <w:divBdr>
        <w:top w:val="none" w:sz="0" w:space="0" w:color="auto"/>
        <w:left w:val="none" w:sz="0" w:space="0" w:color="auto"/>
        <w:bottom w:val="none" w:sz="0" w:space="0" w:color="auto"/>
        <w:right w:val="none" w:sz="0" w:space="0" w:color="auto"/>
      </w:divBdr>
    </w:div>
    <w:div w:id="218521081">
      <w:bodyDiv w:val="1"/>
      <w:marLeft w:val="0"/>
      <w:marRight w:val="0"/>
      <w:marTop w:val="0"/>
      <w:marBottom w:val="0"/>
      <w:divBdr>
        <w:top w:val="none" w:sz="0" w:space="0" w:color="auto"/>
        <w:left w:val="none" w:sz="0" w:space="0" w:color="auto"/>
        <w:bottom w:val="none" w:sz="0" w:space="0" w:color="auto"/>
        <w:right w:val="none" w:sz="0" w:space="0" w:color="auto"/>
      </w:divBdr>
    </w:div>
    <w:div w:id="260383103">
      <w:bodyDiv w:val="1"/>
      <w:marLeft w:val="0"/>
      <w:marRight w:val="0"/>
      <w:marTop w:val="0"/>
      <w:marBottom w:val="0"/>
      <w:divBdr>
        <w:top w:val="none" w:sz="0" w:space="0" w:color="auto"/>
        <w:left w:val="none" w:sz="0" w:space="0" w:color="auto"/>
        <w:bottom w:val="none" w:sz="0" w:space="0" w:color="auto"/>
        <w:right w:val="none" w:sz="0" w:space="0" w:color="auto"/>
      </w:divBdr>
    </w:div>
    <w:div w:id="314384320">
      <w:bodyDiv w:val="1"/>
      <w:marLeft w:val="0"/>
      <w:marRight w:val="0"/>
      <w:marTop w:val="0"/>
      <w:marBottom w:val="0"/>
      <w:divBdr>
        <w:top w:val="none" w:sz="0" w:space="0" w:color="auto"/>
        <w:left w:val="none" w:sz="0" w:space="0" w:color="auto"/>
        <w:bottom w:val="none" w:sz="0" w:space="0" w:color="auto"/>
        <w:right w:val="none" w:sz="0" w:space="0" w:color="auto"/>
      </w:divBdr>
      <w:divsChild>
        <w:div w:id="2022315774">
          <w:marLeft w:val="720"/>
          <w:marRight w:val="0"/>
          <w:marTop w:val="154"/>
          <w:marBottom w:val="0"/>
          <w:divBdr>
            <w:top w:val="none" w:sz="0" w:space="0" w:color="auto"/>
            <w:left w:val="none" w:sz="0" w:space="0" w:color="auto"/>
            <w:bottom w:val="none" w:sz="0" w:space="0" w:color="auto"/>
            <w:right w:val="none" w:sz="0" w:space="0" w:color="auto"/>
          </w:divBdr>
        </w:div>
      </w:divsChild>
    </w:div>
    <w:div w:id="318309768">
      <w:bodyDiv w:val="1"/>
      <w:marLeft w:val="0"/>
      <w:marRight w:val="0"/>
      <w:marTop w:val="0"/>
      <w:marBottom w:val="0"/>
      <w:divBdr>
        <w:top w:val="none" w:sz="0" w:space="0" w:color="auto"/>
        <w:left w:val="none" w:sz="0" w:space="0" w:color="auto"/>
        <w:bottom w:val="none" w:sz="0" w:space="0" w:color="auto"/>
        <w:right w:val="none" w:sz="0" w:space="0" w:color="auto"/>
      </w:divBdr>
    </w:div>
    <w:div w:id="353917993">
      <w:bodyDiv w:val="1"/>
      <w:marLeft w:val="0"/>
      <w:marRight w:val="0"/>
      <w:marTop w:val="0"/>
      <w:marBottom w:val="0"/>
      <w:divBdr>
        <w:top w:val="none" w:sz="0" w:space="0" w:color="auto"/>
        <w:left w:val="none" w:sz="0" w:space="0" w:color="auto"/>
        <w:bottom w:val="none" w:sz="0" w:space="0" w:color="auto"/>
        <w:right w:val="none" w:sz="0" w:space="0" w:color="auto"/>
      </w:divBdr>
    </w:div>
    <w:div w:id="376315483">
      <w:bodyDiv w:val="1"/>
      <w:marLeft w:val="0"/>
      <w:marRight w:val="0"/>
      <w:marTop w:val="0"/>
      <w:marBottom w:val="0"/>
      <w:divBdr>
        <w:top w:val="none" w:sz="0" w:space="0" w:color="auto"/>
        <w:left w:val="none" w:sz="0" w:space="0" w:color="auto"/>
        <w:bottom w:val="none" w:sz="0" w:space="0" w:color="auto"/>
        <w:right w:val="none" w:sz="0" w:space="0" w:color="auto"/>
      </w:divBdr>
      <w:divsChild>
        <w:div w:id="930554419">
          <w:marLeft w:val="374"/>
          <w:marRight w:val="0"/>
          <w:marTop w:val="384"/>
          <w:marBottom w:val="0"/>
          <w:divBdr>
            <w:top w:val="none" w:sz="0" w:space="0" w:color="auto"/>
            <w:left w:val="none" w:sz="0" w:space="0" w:color="auto"/>
            <w:bottom w:val="none" w:sz="0" w:space="0" w:color="auto"/>
            <w:right w:val="none" w:sz="0" w:space="0" w:color="auto"/>
          </w:divBdr>
        </w:div>
        <w:div w:id="52587195">
          <w:marLeft w:val="374"/>
          <w:marRight w:val="0"/>
          <w:marTop w:val="384"/>
          <w:marBottom w:val="0"/>
          <w:divBdr>
            <w:top w:val="none" w:sz="0" w:space="0" w:color="auto"/>
            <w:left w:val="none" w:sz="0" w:space="0" w:color="auto"/>
            <w:bottom w:val="none" w:sz="0" w:space="0" w:color="auto"/>
            <w:right w:val="none" w:sz="0" w:space="0" w:color="auto"/>
          </w:divBdr>
        </w:div>
        <w:div w:id="597327125">
          <w:marLeft w:val="374"/>
          <w:marRight w:val="0"/>
          <w:marTop w:val="384"/>
          <w:marBottom w:val="0"/>
          <w:divBdr>
            <w:top w:val="none" w:sz="0" w:space="0" w:color="auto"/>
            <w:left w:val="none" w:sz="0" w:space="0" w:color="auto"/>
            <w:bottom w:val="none" w:sz="0" w:space="0" w:color="auto"/>
            <w:right w:val="none" w:sz="0" w:space="0" w:color="auto"/>
          </w:divBdr>
        </w:div>
        <w:div w:id="1358391876">
          <w:marLeft w:val="374"/>
          <w:marRight w:val="0"/>
          <w:marTop w:val="384"/>
          <w:marBottom w:val="0"/>
          <w:divBdr>
            <w:top w:val="none" w:sz="0" w:space="0" w:color="auto"/>
            <w:left w:val="none" w:sz="0" w:space="0" w:color="auto"/>
            <w:bottom w:val="none" w:sz="0" w:space="0" w:color="auto"/>
            <w:right w:val="none" w:sz="0" w:space="0" w:color="auto"/>
          </w:divBdr>
        </w:div>
        <w:div w:id="125321024">
          <w:marLeft w:val="374"/>
          <w:marRight w:val="0"/>
          <w:marTop w:val="384"/>
          <w:marBottom w:val="0"/>
          <w:divBdr>
            <w:top w:val="none" w:sz="0" w:space="0" w:color="auto"/>
            <w:left w:val="none" w:sz="0" w:space="0" w:color="auto"/>
            <w:bottom w:val="none" w:sz="0" w:space="0" w:color="auto"/>
            <w:right w:val="none" w:sz="0" w:space="0" w:color="auto"/>
          </w:divBdr>
        </w:div>
      </w:divsChild>
    </w:div>
    <w:div w:id="388648426">
      <w:bodyDiv w:val="1"/>
      <w:marLeft w:val="0"/>
      <w:marRight w:val="0"/>
      <w:marTop w:val="0"/>
      <w:marBottom w:val="0"/>
      <w:divBdr>
        <w:top w:val="none" w:sz="0" w:space="0" w:color="auto"/>
        <w:left w:val="none" w:sz="0" w:space="0" w:color="auto"/>
        <w:bottom w:val="none" w:sz="0" w:space="0" w:color="auto"/>
        <w:right w:val="none" w:sz="0" w:space="0" w:color="auto"/>
      </w:divBdr>
    </w:div>
    <w:div w:id="390663202">
      <w:bodyDiv w:val="1"/>
      <w:marLeft w:val="0"/>
      <w:marRight w:val="0"/>
      <w:marTop w:val="0"/>
      <w:marBottom w:val="0"/>
      <w:divBdr>
        <w:top w:val="none" w:sz="0" w:space="0" w:color="auto"/>
        <w:left w:val="none" w:sz="0" w:space="0" w:color="auto"/>
        <w:bottom w:val="none" w:sz="0" w:space="0" w:color="auto"/>
        <w:right w:val="none" w:sz="0" w:space="0" w:color="auto"/>
      </w:divBdr>
      <w:divsChild>
        <w:div w:id="1567373076">
          <w:marLeft w:val="187"/>
          <w:marRight w:val="0"/>
          <w:marTop w:val="0"/>
          <w:marBottom w:val="0"/>
          <w:divBdr>
            <w:top w:val="none" w:sz="0" w:space="0" w:color="auto"/>
            <w:left w:val="none" w:sz="0" w:space="0" w:color="auto"/>
            <w:bottom w:val="none" w:sz="0" w:space="0" w:color="auto"/>
            <w:right w:val="none" w:sz="0" w:space="0" w:color="auto"/>
          </w:divBdr>
        </w:div>
      </w:divsChild>
    </w:div>
    <w:div w:id="418796945">
      <w:bodyDiv w:val="1"/>
      <w:marLeft w:val="0"/>
      <w:marRight w:val="0"/>
      <w:marTop w:val="0"/>
      <w:marBottom w:val="0"/>
      <w:divBdr>
        <w:top w:val="none" w:sz="0" w:space="0" w:color="auto"/>
        <w:left w:val="none" w:sz="0" w:space="0" w:color="auto"/>
        <w:bottom w:val="none" w:sz="0" w:space="0" w:color="auto"/>
        <w:right w:val="none" w:sz="0" w:space="0" w:color="auto"/>
      </w:divBdr>
    </w:div>
    <w:div w:id="439570318">
      <w:bodyDiv w:val="1"/>
      <w:marLeft w:val="0"/>
      <w:marRight w:val="0"/>
      <w:marTop w:val="0"/>
      <w:marBottom w:val="0"/>
      <w:divBdr>
        <w:top w:val="none" w:sz="0" w:space="0" w:color="auto"/>
        <w:left w:val="none" w:sz="0" w:space="0" w:color="auto"/>
        <w:bottom w:val="none" w:sz="0" w:space="0" w:color="auto"/>
        <w:right w:val="none" w:sz="0" w:space="0" w:color="auto"/>
      </w:divBdr>
    </w:div>
    <w:div w:id="449126947">
      <w:bodyDiv w:val="1"/>
      <w:marLeft w:val="0"/>
      <w:marRight w:val="0"/>
      <w:marTop w:val="0"/>
      <w:marBottom w:val="0"/>
      <w:divBdr>
        <w:top w:val="none" w:sz="0" w:space="0" w:color="auto"/>
        <w:left w:val="none" w:sz="0" w:space="0" w:color="auto"/>
        <w:bottom w:val="none" w:sz="0" w:space="0" w:color="auto"/>
        <w:right w:val="none" w:sz="0" w:space="0" w:color="auto"/>
      </w:divBdr>
      <w:divsChild>
        <w:div w:id="1963612167">
          <w:marLeft w:val="720"/>
          <w:marRight w:val="0"/>
          <w:marTop w:val="154"/>
          <w:marBottom w:val="0"/>
          <w:divBdr>
            <w:top w:val="none" w:sz="0" w:space="0" w:color="auto"/>
            <w:left w:val="none" w:sz="0" w:space="0" w:color="auto"/>
            <w:bottom w:val="none" w:sz="0" w:space="0" w:color="auto"/>
            <w:right w:val="none" w:sz="0" w:space="0" w:color="auto"/>
          </w:divBdr>
        </w:div>
      </w:divsChild>
    </w:div>
    <w:div w:id="471294860">
      <w:bodyDiv w:val="1"/>
      <w:marLeft w:val="0"/>
      <w:marRight w:val="0"/>
      <w:marTop w:val="0"/>
      <w:marBottom w:val="0"/>
      <w:divBdr>
        <w:top w:val="none" w:sz="0" w:space="0" w:color="auto"/>
        <w:left w:val="none" w:sz="0" w:space="0" w:color="auto"/>
        <w:bottom w:val="none" w:sz="0" w:space="0" w:color="auto"/>
        <w:right w:val="none" w:sz="0" w:space="0" w:color="auto"/>
      </w:divBdr>
    </w:div>
    <w:div w:id="504588395">
      <w:bodyDiv w:val="1"/>
      <w:marLeft w:val="0"/>
      <w:marRight w:val="0"/>
      <w:marTop w:val="0"/>
      <w:marBottom w:val="0"/>
      <w:divBdr>
        <w:top w:val="none" w:sz="0" w:space="0" w:color="auto"/>
        <w:left w:val="none" w:sz="0" w:space="0" w:color="auto"/>
        <w:bottom w:val="none" w:sz="0" w:space="0" w:color="auto"/>
        <w:right w:val="none" w:sz="0" w:space="0" w:color="auto"/>
      </w:divBdr>
    </w:div>
    <w:div w:id="580916846">
      <w:bodyDiv w:val="1"/>
      <w:marLeft w:val="0"/>
      <w:marRight w:val="0"/>
      <w:marTop w:val="0"/>
      <w:marBottom w:val="0"/>
      <w:divBdr>
        <w:top w:val="none" w:sz="0" w:space="0" w:color="auto"/>
        <w:left w:val="none" w:sz="0" w:space="0" w:color="auto"/>
        <w:bottom w:val="none" w:sz="0" w:space="0" w:color="auto"/>
        <w:right w:val="none" w:sz="0" w:space="0" w:color="auto"/>
      </w:divBdr>
    </w:div>
    <w:div w:id="623000823">
      <w:bodyDiv w:val="1"/>
      <w:marLeft w:val="0"/>
      <w:marRight w:val="0"/>
      <w:marTop w:val="0"/>
      <w:marBottom w:val="0"/>
      <w:divBdr>
        <w:top w:val="none" w:sz="0" w:space="0" w:color="auto"/>
        <w:left w:val="none" w:sz="0" w:space="0" w:color="auto"/>
        <w:bottom w:val="none" w:sz="0" w:space="0" w:color="auto"/>
        <w:right w:val="none" w:sz="0" w:space="0" w:color="auto"/>
      </w:divBdr>
    </w:div>
    <w:div w:id="638150560">
      <w:bodyDiv w:val="1"/>
      <w:marLeft w:val="0"/>
      <w:marRight w:val="0"/>
      <w:marTop w:val="0"/>
      <w:marBottom w:val="0"/>
      <w:divBdr>
        <w:top w:val="none" w:sz="0" w:space="0" w:color="auto"/>
        <w:left w:val="none" w:sz="0" w:space="0" w:color="auto"/>
        <w:bottom w:val="none" w:sz="0" w:space="0" w:color="auto"/>
        <w:right w:val="none" w:sz="0" w:space="0" w:color="auto"/>
      </w:divBdr>
    </w:div>
    <w:div w:id="673188403">
      <w:bodyDiv w:val="1"/>
      <w:marLeft w:val="0"/>
      <w:marRight w:val="0"/>
      <w:marTop w:val="0"/>
      <w:marBottom w:val="0"/>
      <w:divBdr>
        <w:top w:val="none" w:sz="0" w:space="0" w:color="auto"/>
        <w:left w:val="none" w:sz="0" w:space="0" w:color="auto"/>
        <w:bottom w:val="none" w:sz="0" w:space="0" w:color="auto"/>
        <w:right w:val="none" w:sz="0" w:space="0" w:color="auto"/>
      </w:divBdr>
    </w:div>
    <w:div w:id="713576115">
      <w:bodyDiv w:val="1"/>
      <w:marLeft w:val="0"/>
      <w:marRight w:val="0"/>
      <w:marTop w:val="0"/>
      <w:marBottom w:val="0"/>
      <w:divBdr>
        <w:top w:val="none" w:sz="0" w:space="0" w:color="auto"/>
        <w:left w:val="none" w:sz="0" w:space="0" w:color="auto"/>
        <w:bottom w:val="none" w:sz="0" w:space="0" w:color="auto"/>
        <w:right w:val="none" w:sz="0" w:space="0" w:color="auto"/>
      </w:divBdr>
    </w:div>
    <w:div w:id="749039462">
      <w:bodyDiv w:val="1"/>
      <w:marLeft w:val="0"/>
      <w:marRight w:val="0"/>
      <w:marTop w:val="0"/>
      <w:marBottom w:val="0"/>
      <w:divBdr>
        <w:top w:val="none" w:sz="0" w:space="0" w:color="auto"/>
        <w:left w:val="none" w:sz="0" w:space="0" w:color="auto"/>
        <w:bottom w:val="none" w:sz="0" w:space="0" w:color="auto"/>
        <w:right w:val="none" w:sz="0" w:space="0" w:color="auto"/>
      </w:divBdr>
    </w:div>
    <w:div w:id="819083218">
      <w:bodyDiv w:val="1"/>
      <w:marLeft w:val="0"/>
      <w:marRight w:val="0"/>
      <w:marTop w:val="0"/>
      <w:marBottom w:val="0"/>
      <w:divBdr>
        <w:top w:val="none" w:sz="0" w:space="0" w:color="auto"/>
        <w:left w:val="none" w:sz="0" w:space="0" w:color="auto"/>
        <w:bottom w:val="none" w:sz="0" w:space="0" w:color="auto"/>
        <w:right w:val="none" w:sz="0" w:space="0" w:color="auto"/>
      </w:divBdr>
    </w:div>
    <w:div w:id="896941281">
      <w:bodyDiv w:val="1"/>
      <w:marLeft w:val="0"/>
      <w:marRight w:val="0"/>
      <w:marTop w:val="0"/>
      <w:marBottom w:val="0"/>
      <w:divBdr>
        <w:top w:val="none" w:sz="0" w:space="0" w:color="auto"/>
        <w:left w:val="none" w:sz="0" w:space="0" w:color="auto"/>
        <w:bottom w:val="none" w:sz="0" w:space="0" w:color="auto"/>
        <w:right w:val="none" w:sz="0" w:space="0" w:color="auto"/>
      </w:divBdr>
    </w:div>
    <w:div w:id="912088434">
      <w:bodyDiv w:val="1"/>
      <w:marLeft w:val="0"/>
      <w:marRight w:val="0"/>
      <w:marTop w:val="0"/>
      <w:marBottom w:val="0"/>
      <w:divBdr>
        <w:top w:val="none" w:sz="0" w:space="0" w:color="auto"/>
        <w:left w:val="none" w:sz="0" w:space="0" w:color="auto"/>
        <w:bottom w:val="none" w:sz="0" w:space="0" w:color="auto"/>
        <w:right w:val="none" w:sz="0" w:space="0" w:color="auto"/>
      </w:divBdr>
    </w:div>
    <w:div w:id="913516210">
      <w:bodyDiv w:val="1"/>
      <w:marLeft w:val="0"/>
      <w:marRight w:val="0"/>
      <w:marTop w:val="0"/>
      <w:marBottom w:val="0"/>
      <w:divBdr>
        <w:top w:val="none" w:sz="0" w:space="0" w:color="auto"/>
        <w:left w:val="none" w:sz="0" w:space="0" w:color="auto"/>
        <w:bottom w:val="none" w:sz="0" w:space="0" w:color="auto"/>
        <w:right w:val="none" w:sz="0" w:space="0" w:color="auto"/>
      </w:divBdr>
    </w:div>
    <w:div w:id="919095564">
      <w:bodyDiv w:val="1"/>
      <w:marLeft w:val="0"/>
      <w:marRight w:val="0"/>
      <w:marTop w:val="0"/>
      <w:marBottom w:val="0"/>
      <w:divBdr>
        <w:top w:val="none" w:sz="0" w:space="0" w:color="auto"/>
        <w:left w:val="none" w:sz="0" w:space="0" w:color="auto"/>
        <w:bottom w:val="none" w:sz="0" w:space="0" w:color="auto"/>
        <w:right w:val="none" w:sz="0" w:space="0" w:color="auto"/>
      </w:divBdr>
    </w:div>
    <w:div w:id="961115568">
      <w:bodyDiv w:val="1"/>
      <w:marLeft w:val="0"/>
      <w:marRight w:val="0"/>
      <w:marTop w:val="0"/>
      <w:marBottom w:val="0"/>
      <w:divBdr>
        <w:top w:val="none" w:sz="0" w:space="0" w:color="auto"/>
        <w:left w:val="none" w:sz="0" w:space="0" w:color="auto"/>
        <w:bottom w:val="none" w:sz="0" w:space="0" w:color="auto"/>
        <w:right w:val="none" w:sz="0" w:space="0" w:color="auto"/>
      </w:divBdr>
    </w:div>
    <w:div w:id="962271170">
      <w:bodyDiv w:val="1"/>
      <w:marLeft w:val="0"/>
      <w:marRight w:val="0"/>
      <w:marTop w:val="0"/>
      <w:marBottom w:val="0"/>
      <w:divBdr>
        <w:top w:val="none" w:sz="0" w:space="0" w:color="auto"/>
        <w:left w:val="none" w:sz="0" w:space="0" w:color="auto"/>
        <w:bottom w:val="none" w:sz="0" w:space="0" w:color="auto"/>
        <w:right w:val="none" w:sz="0" w:space="0" w:color="auto"/>
      </w:divBdr>
    </w:div>
    <w:div w:id="1007251046">
      <w:bodyDiv w:val="1"/>
      <w:marLeft w:val="0"/>
      <w:marRight w:val="0"/>
      <w:marTop w:val="0"/>
      <w:marBottom w:val="0"/>
      <w:divBdr>
        <w:top w:val="none" w:sz="0" w:space="0" w:color="auto"/>
        <w:left w:val="none" w:sz="0" w:space="0" w:color="auto"/>
        <w:bottom w:val="none" w:sz="0" w:space="0" w:color="auto"/>
        <w:right w:val="none" w:sz="0" w:space="0" w:color="auto"/>
      </w:divBdr>
    </w:div>
    <w:div w:id="1144395372">
      <w:bodyDiv w:val="1"/>
      <w:marLeft w:val="0"/>
      <w:marRight w:val="0"/>
      <w:marTop w:val="0"/>
      <w:marBottom w:val="0"/>
      <w:divBdr>
        <w:top w:val="none" w:sz="0" w:space="0" w:color="auto"/>
        <w:left w:val="none" w:sz="0" w:space="0" w:color="auto"/>
        <w:bottom w:val="none" w:sz="0" w:space="0" w:color="auto"/>
        <w:right w:val="none" w:sz="0" w:space="0" w:color="auto"/>
      </w:divBdr>
      <w:divsChild>
        <w:div w:id="345712441">
          <w:marLeft w:val="720"/>
          <w:marRight w:val="0"/>
          <w:marTop w:val="154"/>
          <w:marBottom w:val="0"/>
          <w:divBdr>
            <w:top w:val="none" w:sz="0" w:space="0" w:color="auto"/>
            <w:left w:val="none" w:sz="0" w:space="0" w:color="auto"/>
            <w:bottom w:val="none" w:sz="0" w:space="0" w:color="auto"/>
            <w:right w:val="none" w:sz="0" w:space="0" w:color="auto"/>
          </w:divBdr>
        </w:div>
      </w:divsChild>
    </w:div>
    <w:div w:id="1170372743">
      <w:bodyDiv w:val="1"/>
      <w:marLeft w:val="0"/>
      <w:marRight w:val="0"/>
      <w:marTop w:val="0"/>
      <w:marBottom w:val="0"/>
      <w:divBdr>
        <w:top w:val="none" w:sz="0" w:space="0" w:color="auto"/>
        <w:left w:val="none" w:sz="0" w:space="0" w:color="auto"/>
        <w:bottom w:val="none" w:sz="0" w:space="0" w:color="auto"/>
        <w:right w:val="none" w:sz="0" w:space="0" w:color="auto"/>
      </w:divBdr>
    </w:div>
    <w:div w:id="1201936404">
      <w:bodyDiv w:val="1"/>
      <w:marLeft w:val="0"/>
      <w:marRight w:val="0"/>
      <w:marTop w:val="0"/>
      <w:marBottom w:val="0"/>
      <w:divBdr>
        <w:top w:val="none" w:sz="0" w:space="0" w:color="auto"/>
        <w:left w:val="none" w:sz="0" w:space="0" w:color="auto"/>
        <w:bottom w:val="none" w:sz="0" w:space="0" w:color="auto"/>
        <w:right w:val="none" w:sz="0" w:space="0" w:color="auto"/>
      </w:divBdr>
    </w:div>
    <w:div w:id="1203516064">
      <w:bodyDiv w:val="1"/>
      <w:marLeft w:val="0"/>
      <w:marRight w:val="0"/>
      <w:marTop w:val="0"/>
      <w:marBottom w:val="0"/>
      <w:divBdr>
        <w:top w:val="none" w:sz="0" w:space="0" w:color="auto"/>
        <w:left w:val="none" w:sz="0" w:space="0" w:color="auto"/>
        <w:bottom w:val="none" w:sz="0" w:space="0" w:color="auto"/>
        <w:right w:val="none" w:sz="0" w:space="0" w:color="auto"/>
      </w:divBdr>
    </w:div>
    <w:div w:id="1280575928">
      <w:bodyDiv w:val="1"/>
      <w:marLeft w:val="0"/>
      <w:marRight w:val="0"/>
      <w:marTop w:val="0"/>
      <w:marBottom w:val="0"/>
      <w:divBdr>
        <w:top w:val="none" w:sz="0" w:space="0" w:color="auto"/>
        <w:left w:val="none" w:sz="0" w:space="0" w:color="auto"/>
        <w:bottom w:val="none" w:sz="0" w:space="0" w:color="auto"/>
        <w:right w:val="none" w:sz="0" w:space="0" w:color="auto"/>
      </w:divBdr>
    </w:div>
    <w:div w:id="1291129335">
      <w:bodyDiv w:val="1"/>
      <w:marLeft w:val="0"/>
      <w:marRight w:val="0"/>
      <w:marTop w:val="0"/>
      <w:marBottom w:val="0"/>
      <w:divBdr>
        <w:top w:val="none" w:sz="0" w:space="0" w:color="auto"/>
        <w:left w:val="none" w:sz="0" w:space="0" w:color="auto"/>
        <w:bottom w:val="none" w:sz="0" w:space="0" w:color="auto"/>
        <w:right w:val="none" w:sz="0" w:space="0" w:color="auto"/>
      </w:divBdr>
    </w:div>
    <w:div w:id="1326780522">
      <w:bodyDiv w:val="1"/>
      <w:marLeft w:val="0"/>
      <w:marRight w:val="0"/>
      <w:marTop w:val="0"/>
      <w:marBottom w:val="0"/>
      <w:divBdr>
        <w:top w:val="none" w:sz="0" w:space="0" w:color="auto"/>
        <w:left w:val="none" w:sz="0" w:space="0" w:color="auto"/>
        <w:bottom w:val="none" w:sz="0" w:space="0" w:color="auto"/>
        <w:right w:val="none" w:sz="0" w:space="0" w:color="auto"/>
      </w:divBdr>
      <w:divsChild>
        <w:div w:id="734933504">
          <w:marLeft w:val="374"/>
          <w:marRight w:val="0"/>
          <w:marTop w:val="384"/>
          <w:marBottom w:val="0"/>
          <w:divBdr>
            <w:top w:val="none" w:sz="0" w:space="0" w:color="auto"/>
            <w:left w:val="none" w:sz="0" w:space="0" w:color="auto"/>
            <w:bottom w:val="none" w:sz="0" w:space="0" w:color="auto"/>
            <w:right w:val="none" w:sz="0" w:space="0" w:color="auto"/>
          </w:divBdr>
        </w:div>
        <w:div w:id="396168181">
          <w:marLeft w:val="374"/>
          <w:marRight w:val="0"/>
          <w:marTop w:val="384"/>
          <w:marBottom w:val="0"/>
          <w:divBdr>
            <w:top w:val="none" w:sz="0" w:space="0" w:color="auto"/>
            <w:left w:val="none" w:sz="0" w:space="0" w:color="auto"/>
            <w:bottom w:val="none" w:sz="0" w:space="0" w:color="auto"/>
            <w:right w:val="none" w:sz="0" w:space="0" w:color="auto"/>
          </w:divBdr>
        </w:div>
        <w:div w:id="1861964387">
          <w:marLeft w:val="374"/>
          <w:marRight w:val="0"/>
          <w:marTop w:val="384"/>
          <w:marBottom w:val="0"/>
          <w:divBdr>
            <w:top w:val="none" w:sz="0" w:space="0" w:color="auto"/>
            <w:left w:val="none" w:sz="0" w:space="0" w:color="auto"/>
            <w:bottom w:val="none" w:sz="0" w:space="0" w:color="auto"/>
            <w:right w:val="none" w:sz="0" w:space="0" w:color="auto"/>
          </w:divBdr>
        </w:div>
        <w:div w:id="234978501">
          <w:marLeft w:val="374"/>
          <w:marRight w:val="0"/>
          <w:marTop w:val="384"/>
          <w:marBottom w:val="0"/>
          <w:divBdr>
            <w:top w:val="none" w:sz="0" w:space="0" w:color="auto"/>
            <w:left w:val="none" w:sz="0" w:space="0" w:color="auto"/>
            <w:bottom w:val="none" w:sz="0" w:space="0" w:color="auto"/>
            <w:right w:val="none" w:sz="0" w:space="0" w:color="auto"/>
          </w:divBdr>
        </w:div>
        <w:div w:id="516846542">
          <w:marLeft w:val="374"/>
          <w:marRight w:val="0"/>
          <w:marTop w:val="384"/>
          <w:marBottom w:val="0"/>
          <w:divBdr>
            <w:top w:val="none" w:sz="0" w:space="0" w:color="auto"/>
            <w:left w:val="none" w:sz="0" w:space="0" w:color="auto"/>
            <w:bottom w:val="none" w:sz="0" w:space="0" w:color="auto"/>
            <w:right w:val="none" w:sz="0" w:space="0" w:color="auto"/>
          </w:divBdr>
        </w:div>
      </w:divsChild>
    </w:div>
    <w:div w:id="1329557914">
      <w:bodyDiv w:val="1"/>
      <w:marLeft w:val="0"/>
      <w:marRight w:val="0"/>
      <w:marTop w:val="0"/>
      <w:marBottom w:val="0"/>
      <w:divBdr>
        <w:top w:val="none" w:sz="0" w:space="0" w:color="auto"/>
        <w:left w:val="none" w:sz="0" w:space="0" w:color="auto"/>
        <w:bottom w:val="none" w:sz="0" w:space="0" w:color="auto"/>
        <w:right w:val="none" w:sz="0" w:space="0" w:color="auto"/>
      </w:divBdr>
    </w:div>
    <w:div w:id="1346521180">
      <w:bodyDiv w:val="1"/>
      <w:marLeft w:val="0"/>
      <w:marRight w:val="0"/>
      <w:marTop w:val="0"/>
      <w:marBottom w:val="0"/>
      <w:divBdr>
        <w:top w:val="none" w:sz="0" w:space="0" w:color="auto"/>
        <w:left w:val="none" w:sz="0" w:space="0" w:color="auto"/>
        <w:bottom w:val="none" w:sz="0" w:space="0" w:color="auto"/>
        <w:right w:val="none" w:sz="0" w:space="0" w:color="auto"/>
      </w:divBdr>
    </w:div>
    <w:div w:id="1369068469">
      <w:bodyDiv w:val="1"/>
      <w:marLeft w:val="0"/>
      <w:marRight w:val="0"/>
      <w:marTop w:val="0"/>
      <w:marBottom w:val="0"/>
      <w:divBdr>
        <w:top w:val="none" w:sz="0" w:space="0" w:color="auto"/>
        <w:left w:val="none" w:sz="0" w:space="0" w:color="auto"/>
        <w:bottom w:val="none" w:sz="0" w:space="0" w:color="auto"/>
        <w:right w:val="none" w:sz="0" w:space="0" w:color="auto"/>
      </w:divBdr>
      <w:divsChild>
        <w:div w:id="1727295054">
          <w:marLeft w:val="547"/>
          <w:marRight w:val="0"/>
          <w:marTop w:val="86"/>
          <w:marBottom w:val="0"/>
          <w:divBdr>
            <w:top w:val="none" w:sz="0" w:space="0" w:color="auto"/>
            <w:left w:val="none" w:sz="0" w:space="0" w:color="auto"/>
            <w:bottom w:val="none" w:sz="0" w:space="0" w:color="auto"/>
            <w:right w:val="none" w:sz="0" w:space="0" w:color="auto"/>
          </w:divBdr>
        </w:div>
      </w:divsChild>
    </w:div>
    <w:div w:id="1398673825">
      <w:bodyDiv w:val="1"/>
      <w:marLeft w:val="0"/>
      <w:marRight w:val="0"/>
      <w:marTop w:val="0"/>
      <w:marBottom w:val="0"/>
      <w:divBdr>
        <w:top w:val="none" w:sz="0" w:space="0" w:color="auto"/>
        <w:left w:val="none" w:sz="0" w:space="0" w:color="auto"/>
        <w:bottom w:val="none" w:sz="0" w:space="0" w:color="auto"/>
        <w:right w:val="none" w:sz="0" w:space="0" w:color="auto"/>
      </w:divBdr>
    </w:div>
    <w:div w:id="1398819677">
      <w:bodyDiv w:val="1"/>
      <w:marLeft w:val="0"/>
      <w:marRight w:val="0"/>
      <w:marTop w:val="0"/>
      <w:marBottom w:val="0"/>
      <w:divBdr>
        <w:top w:val="none" w:sz="0" w:space="0" w:color="auto"/>
        <w:left w:val="none" w:sz="0" w:space="0" w:color="auto"/>
        <w:bottom w:val="none" w:sz="0" w:space="0" w:color="auto"/>
        <w:right w:val="none" w:sz="0" w:space="0" w:color="auto"/>
      </w:divBdr>
    </w:div>
    <w:div w:id="1442610805">
      <w:bodyDiv w:val="1"/>
      <w:marLeft w:val="0"/>
      <w:marRight w:val="0"/>
      <w:marTop w:val="0"/>
      <w:marBottom w:val="0"/>
      <w:divBdr>
        <w:top w:val="none" w:sz="0" w:space="0" w:color="auto"/>
        <w:left w:val="none" w:sz="0" w:space="0" w:color="auto"/>
        <w:bottom w:val="none" w:sz="0" w:space="0" w:color="auto"/>
        <w:right w:val="none" w:sz="0" w:space="0" w:color="auto"/>
      </w:divBdr>
    </w:div>
    <w:div w:id="1453937534">
      <w:bodyDiv w:val="1"/>
      <w:marLeft w:val="0"/>
      <w:marRight w:val="0"/>
      <w:marTop w:val="0"/>
      <w:marBottom w:val="0"/>
      <w:divBdr>
        <w:top w:val="none" w:sz="0" w:space="0" w:color="auto"/>
        <w:left w:val="none" w:sz="0" w:space="0" w:color="auto"/>
        <w:bottom w:val="none" w:sz="0" w:space="0" w:color="auto"/>
        <w:right w:val="none" w:sz="0" w:space="0" w:color="auto"/>
      </w:divBdr>
    </w:div>
    <w:div w:id="1466853763">
      <w:bodyDiv w:val="1"/>
      <w:marLeft w:val="0"/>
      <w:marRight w:val="0"/>
      <w:marTop w:val="0"/>
      <w:marBottom w:val="0"/>
      <w:divBdr>
        <w:top w:val="none" w:sz="0" w:space="0" w:color="auto"/>
        <w:left w:val="none" w:sz="0" w:space="0" w:color="auto"/>
        <w:bottom w:val="none" w:sz="0" w:space="0" w:color="auto"/>
        <w:right w:val="none" w:sz="0" w:space="0" w:color="auto"/>
      </w:divBdr>
    </w:div>
    <w:div w:id="1489713359">
      <w:bodyDiv w:val="1"/>
      <w:marLeft w:val="0"/>
      <w:marRight w:val="0"/>
      <w:marTop w:val="0"/>
      <w:marBottom w:val="0"/>
      <w:divBdr>
        <w:top w:val="none" w:sz="0" w:space="0" w:color="auto"/>
        <w:left w:val="none" w:sz="0" w:space="0" w:color="auto"/>
        <w:bottom w:val="none" w:sz="0" w:space="0" w:color="auto"/>
        <w:right w:val="none" w:sz="0" w:space="0" w:color="auto"/>
      </w:divBdr>
    </w:div>
    <w:div w:id="1491482248">
      <w:bodyDiv w:val="1"/>
      <w:marLeft w:val="0"/>
      <w:marRight w:val="0"/>
      <w:marTop w:val="0"/>
      <w:marBottom w:val="0"/>
      <w:divBdr>
        <w:top w:val="none" w:sz="0" w:space="0" w:color="auto"/>
        <w:left w:val="none" w:sz="0" w:space="0" w:color="auto"/>
        <w:bottom w:val="none" w:sz="0" w:space="0" w:color="auto"/>
        <w:right w:val="none" w:sz="0" w:space="0" w:color="auto"/>
      </w:divBdr>
    </w:div>
    <w:div w:id="1497111293">
      <w:bodyDiv w:val="1"/>
      <w:marLeft w:val="0"/>
      <w:marRight w:val="0"/>
      <w:marTop w:val="0"/>
      <w:marBottom w:val="0"/>
      <w:divBdr>
        <w:top w:val="none" w:sz="0" w:space="0" w:color="auto"/>
        <w:left w:val="none" w:sz="0" w:space="0" w:color="auto"/>
        <w:bottom w:val="none" w:sz="0" w:space="0" w:color="auto"/>
        <w:right w:val="none" w:sz="0" w:space="0" w:color="auto"/>
      </w:divBdr>
      <w:divsChild>
        <w:div w:id="2077966970">
          <w:marLeft w:val="446"/>
          <w:marRight w:val="0"/>
          <w:marTop w:val="0"/>
          <w:marBottom w:val="0"/>
          <w:divBdr>
            <w:top w:val="none" w:sz="0" w:space="0" w:color="auto"/>
            <w:left w:val="none" w:sz="0" w:space="0" w:color="auto"/>
            <w:bottom w:val="none" w:sz="0" w:space="0" w:color="auto"/>
            <w:right w:val="none" w:sz="0" w:space="0" w:color="auto"/>
          </w:divBdr>
        </w:div>
        <w:div w:id="2093040087">
          <w:marLeft w:val="446"/>
          <w:marRight w:val="0"/>
          <w:marTop w:val="0"/>
          <w:marBottom w:val="0"/>
          <w:divBdr>
            <w:top w:val="none" w:sz="0" w:space="0" w:color="auto"/>
            <w:left w:val="none" w:sz="0" w:space="0" w:color="auto"/>
            <w:bottom w:val="none" w:sz="0" w:space="0" w:color="auto"/>
            <w:right w:val="none" w:sz="0" w:space="0" w:color="auto"/>
          </w:divBdr>
        </w:div>
        <w:div w:id="1617328731">
          <w:marLeft w:val="446"/>
          <w:marRight w:val="0"/>
          <w:marTop w:val="0"/>
          <w:marBottom w:val="0"/>
          <w:divBdr>
            <w:top w:val="none" w:sz="0" w:space="0" w:color="auto"/>
            <w:left w:val="none" w:sz="0" w:space="0" w:color="auto"/>
            <w:bottom w:val="none" w:sz="0" w:space="0" w:color="auto"/>
            <w:right w:val="none" w:sz="0" w:space="0" w:color="auto"/>
          </w:divBdr>
        </w:div>
        <w:div w:id="1395590397">
          <w:marLeft w:val="446"/>
          <w:marRight w:val="0"/>
          <w:marTop w:val="0"/>
          <w:marBottom w:val="0"/>
          <w:divBdr>
            <w:top w:val="none" w:sz="0" w:space="0" w:color="auto"/>
            <w:left w:val="none" w:sz="0" w:space="0" w:color="auto"/>
            <w:bottom w:val="none" w:sz="0" w:space="0" w:color="auto"/>
            <w:right w:val="none" w:sz="0" w:space="0" w:color="auto"/>
          </w:divBdr>
        </w:div>
        <w:div w:id="1767726889">
          <w:marLeft w:val="446"/>
          <w:marRight w:val="0"/>
          <w:marTop w:val="0"/>
          <w:marBottom w:val="0"/>
          <w:divBdr>
            <w:top w:val="none" w:sz="0" w:space="0" w:color="auto"/>
            <w:left w:val="none" w:sz="0" w:space="0" w:color="auto"/>
            <w:bottom w:val="none" w:sz="0" w:space="0" w:color="auto"/>
            <w:right w:val="none" w:sz="0" w:space="0" w:color="auto"/>
          </w:divBdr>
        </w:div>
      </w:divsChild>
    </w:div>
    <w:div w:id="1555045481">
      <w:bodyDiv w:val="1"/>
      <w:marLeft w:val="0"/>
      <w:marRight w:val="0"/>
      <w:marTop w:val="0"/>
      <w:marBottom w:val="0"/>
      <w:divBdr>
        <w:top w:val="none" w:sz="0" w:space="0" w:color="auto"/>
        <w:left w:val="none" w:sz="0" w:space="0" w:color="auto"/>
        <w:bottom w:val="none" w:sz="0" w:space="0" w:color="auto"/>
        <w:right w:val="none" w:sz="0" w:space="0" w:color="auto"/>
      </w:divBdr>
    </w:div>
    <w:div w:id="1579291476">
      <w:bodyDiv w:val="1"/>
      <w:marLeft w:val="0"/>
      <w:marRight w:val="0"/>
      <w:marTop w:val="0"/>
      <w:marBottom w:val="0"/>
      <w:divBdr>
        <w:top w:val="none" w:sz="0" w:space="0" w:color="auto"/>
        <w:left w:val="none" w:sz="0" w:space="0" w:color="auto"/>
        <w:bottom w:val="none" w:sz="0" w:space="0" w:color="auto"/>
        <w:right w:val="none" w:sz="0" w:space="0" w:color="auto"/>
      </w:divBdr>
    </w:div>
    <w:div w:id="1614751782">
      <w:bodyDiv w:val="1"/>
      <w:marLeft w:val="0"/>
      <w:marRight w:val="0"/>
      <w:marTop w:val="0"/>
      <w:marBottom w:val="0"/>
      <w:divBdr>
        <w:top w:val="none" w:sz="0" w:space="0" w:color="auto"/>
        <w:left w:val="none" w:sz="0" w:space="0" w:color="auto"/>
        <w:bottom w:val="none" w:sz="0" w:space="0" w:color="auto"/>
        <w:right w:val="none" w:sz="0" w:space="0" w:color="auto"/>
      </w:divBdr>
    </w:div>
    <w:div w:id="1623880817">
      <w:bodyDiv w:val="1"/>
      <w:marLeft w:val="0"/>
      <w:marRight w:val="0"/>
      <w:marTop w:val="0"/>
      <w:marBottom w:val="0"/>
      <w:divBdr>
        <w:top w:val="none" w:sz="0" w:space="0" w:color="auto"/>
        <w:left w:val="none" w:sz="0" w:space="0" w:color="auto"/>
        <w:bottom w:val="none" w:sz="0" w:space="0" w:color="auto"/>
        <w:right w:val="none" w:sz="0" w:space="0" w:color="auto"/>
      </w:divBdr>
    </w:div>
    <w:div w:id="1634020214">
      <w:bodyDiv w:val="1"/>
      <w:marLeft w:val="0"/>
      <w:marRight w:val="0"/>
      <w:marTop w:val="0"/>
      <w:marBottom w:val="0"/>
      <w:divBdr>
        <w:top w:val="none" w:sz="0" w:space="0" w:color="auto"/>
        <w:left w:val="none" w:sz="0" w:space="0" w:color="auto"/>
        <w:bottom w:val="none" w:sz="0" w:space="0" w:color="auto"/>
        <w:right w:val="none" w:sz="0" w:space="0" w:color="auto"/>
      </w:divBdr>
    </w:div>
    <w:div w:id="1664775618">
      <w:bodyDiv w:val="1"/>
      <w:marLeft w:val="0"/>
      <w:marRight w:val="0"/>
      <w:marTop w:val="0"/>
      <w:marBottom w:val="0"/>
      <w:divBdr>
        <w:top w:val="none" w:sz="0" w:space="0" w:color="auto"/>
        <w:left w:val="none" w:sz="0" w:space="0" w:color="auto"/>
        <w:bottom w:val="none" w:sz="0" w:space="0" w:color="auto"/>
        <w:right w:val="none" w:sz="0" w:space="0" w:color="auto"/>
      </w:divBdr>
    </w:div>
    <w:div w:id="1687559685">
      <w:bodyDiv w:val="1"/>
      <w:marLeft w:val="0"/>
      <w:marRight w:val="0"/>
      <w:marTop w:val="0"/>
      <w:marBottom w:val="0"/>
      <w:divBdr>
        <w:top w:val="none" w:sz="0" w:space="0" w:color="auto"/>
        <w:left w:val="none" w:sz="0" w:space="0" w:color="auto"/>
        <w:bottom w:val="none" w:sz="0" w:space="0" w:color="auto"/>
        <w:right w:val="none" w:sz="0" w:space="0" w:color="auto"/>
      </w:divBdr>
    </w:div>
    <w:div w:id="1739594494">
      <w:bodyDiv w:val="1"/>
      <w:marLeft w:val="0"/>
      <w:marRight w:val="0"/>
      <w:marTop w:val="0"/>
      <w:marBottom w:val="0"/>
      <w:divBdr>
        <w:top w:val="none" w:sz="0" w:space="0" w:color="auto"/>
        <w:left w:val="none" w:sz="0" w:space="0" w:color="auto"/>
        <w:bottom w:val="none" w:sz="0" w:space="0" w:color="auto"/>
        <w:right w:val="none" w:sz="0" w:space="0" w:color="auto"/>
      </w:divBdr>
    </w:div>
    <w:div w:id="1918976120">
      <w:bodyDiv w:val="1"/>
      <w:marLeft w:val="0"/>
      <w:marRight w:val="0"/>
      <w:marTop w:val="0"/>
      <w:marBottom w:val="0"/>
      <w:divBdr>
        <w:top w:val="none" w:sz="0" w:space="0" w:color="auto"/>
        <w:left w:val="none" w:sz="0" w:space="0" w:color="auto"/>
        <w:bottom w:val="none" w:sz="0" w:space="0" w:color="auto"/>
        <w:right w:val="none" w:sz="0" w:space="0" w:color="auto"/>
      </w:divBdr>
    </w:div>
    <w:div w:id="1935046437">
      <w:bodyDiv w:val="1"/>
      <w:marLeft w:val="0"/>
      <w:marRight w:val="0"/>
      <w:marTop w:val="0"/>
      <w:marBottom w:val="0"/>
      <w:divBdr>
        <w:top w:val="none" w:sz="0" w:space="0" w:color="auto"/>
        <w:left w:val="none" w:sz="0" w:space="0" w:color="auto"/>
        <w:bottom w:val="none" w:sz="0" w:space="0" w:color="auto"/>
        <w:right w:val="none" w:sz="0" w:space="0" w:color="auto"/>
      </w:divBdr>
    </w:div>
    <w:div w:id="1981038694">
      <w:bodyDiv w:val="1"/>
      <w:marLeft w:val="0"/>
      <w:marRight w:val="0"/>
      <w:marTop w:val="0"/>
      <w:marBottom w:val="0"/>
      <w:divBdr>
        <w:top w:val="none" w:sz="0" w:space="0" w:color="auto"/>
        <w:left w:val="none" w:sz="0" w:space="0" w:color="auto"/>
        <w:bottom w:val="none" w:sz="0" w:space="0" w:color="auto"/>
        <w:right w:val="none" w:sz="0" w:space="0" w:color="auto"/>
      </w:divBdr>
    </w:div>
    <w:div w:id="1997218222">
      <w:bodyDiv w:val="1"/>
      <w:marLeft w:val="0"/>
      <w:marRight w:val="0"/>
      <w:marTop w:val="0"/>
      <w:marBottom w:val="0"/>
      <w:divBdr>
        <w:top w:val="none" w:sz="0" w:space="0" w:color="auto"/>
        <w:left w:val="none" w:sz="0" w:space="0" w:color="auto"/>
        <w:bottom w:val="none" w:sz="0" w:space="0" w:color="auto"/>
        <w:right w:val="none" w:sz="0" w:space="0" w:color="auto"/>
      </w:divBdr>
    </w:div>
    <w:div w:id="2121871038">
      <w:bodyDiv w:val="1"/>
      <w:marLeft w:val="0"/>
      <w:marRight w:val="0"/>
      <w:marTop w:val="0"/>
      <w:marBottom w:val="0"/>
      <w:divBdr>
        <w:top w:val="none" w:sz="0" w:space="0" w:color="auto"/>
        <w:left w:val="none" w:sz="0" w:space="0" w:color="auto"/>
        <w:bottom w:val="none" w:sz="0" w:space="0" w:color="auto"/>
        <w:right w:val="none" w:sz="0" w:space="0" w:color="auto"/>
      </w:divBdr>
    </w:div>
    <w:div w:id="2125881741">
      <w:bodyDiv w:val="1"/>
      <w:marLeft w:val="0"/>
      <w:marRight w:val="0"/>
      <w:marTop w:val="0"/>
      <w:marBottom w:val="0"/>
      <w:divBdr>
        <w:top w:val="none" w:sz="0" w:space="0" w:color="auto"/>
        <w:left w:val="none" w:sz="0" w:space="0" w:color="auto"/>
        <w:bottom w:val="none" w:sz="0" w:space="0" w:color="auto"/>
        <w:right w:val="none" w:sz="0" w:space="0" w:color="auto"/>
      </w:divBdr>
    </w:div>
    <w:div w:id="214658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hs.gov/xlibrary/assets/rma-strategic-national-risk-assessment-ppd8.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PD8-NationalPreparedness@fema.dhs.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PD8-NationalPreparedness@fema.dhs.gov" TargetMode="External"/><Relationship Id="rId4" Type="http://schemas.openxmlformats.org/officeDocument/2006/relationships/settings" Target="settings.xml"/><Relationship Id="rId9" Type="http://schemas.openxmlformats.org/officeDocument/2006/relationships/hyperlink" Target="mailto:PPD8-NationalPreparedness@fema.dhs.gov" TargetMode="External"/><Relationship Id="rId14" Type="http://schemas.openxmlformats.org/officeDocument/2006/relationships/fontTable" Target="fontTable.xml"/></Relationships>
</file>

<file path=word/theme/theme1.xml><?xml version="1.0" encoding="utf-8"?>
<a:theme xmlns:a="http://schemas.openxmlformats.org/drawingml/2006/main" name="ICE 831">
  <a:themeElements>
    <a:clrScheme name="DHS Colors">
      <a:dk1>
        <a:sysClr val="windowText" lastClr="000000"/>
      </a:dk1>
      <a:lt1>
        <a:sysClr val="window" lastClr="FFFFFF"/>
      </a:lt1>
      <a:dk2>
        <a:srgbClr val="002F80"/>
      </a:dk2>
      <a:lt2>
        <a:srgbClr val="B0B1B3"/>
      </a:lt2>
      <a:accent1>
        <a:srgbClr val="002F80"/>
      </a:accent1>
      <a:accent2>
        <a:srgbClr val="B0B1B3"/>
      </a:accent2>
      <a:accent3>
        <a:srgbClr val="363636"/>
      </a:accent3>
      <a:accent4>
        <a:srgbClr val="A50021"/>
      </a:accent4>
      <a:accent5>
        <a:srgbClr val="598600"/>
      </a:accent5>
      <a:accent6>
        <a:srgbClr val="0070B2"/>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spDef>
    <a:ln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lnDef>
    <a:txDef>
      <a:spPr>
        <a:solidFill>
          <a:schemeClr val="bg2"/>
        </a:solidFill>
        <a:ln w="38100">
          <a:solidFill>
            <a:schemeClr val="tx2"/>
          </a:solidFill>
          <a:miter lim="800000"/>
        </a:ln>
        <a:effectLst/>
      </a:spPr>
      <a:bodyPr rot="0" spcFirstLastPara="0" vertOverflow="overflow" horzOverflow="overflow" vert="horz" wrap="square" lIns="91440" tIns="91440" rIns="91440" bIns="91440" numCol="1" spcCol="0" rtlCol="0" fromWordArt="0" anchor="t" anchorCtr="0" forceAA="0" compatLnSpc="1">
        <a:prstTxWarp prst="textNoShape">
          <a:avLst/>
        </a:prstTxWarp>
        <a:noAutofit/>
      </a:bodyPr>
      <a:lstStyle/>
    </a:txDef>
  </a:objectDefaults>
  <a:extraClrSchemeLst>
    <a:extraClrScheme>
      <a:clrScheme name="OCIO Master PPT Templat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OCIO Master PPT Template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OCIO Master PPT Template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OCIO Master PPT Template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OCIO Master PPT Template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OCIO Master PPT Template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OCIO Master PPT Template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OCIO Master PPT Template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OCIO Master PPT Template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OCIO Master PPT Template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OCIO Master PPT Template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OCIO Master PPT Template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30F0A-6E9D-45FB-B093-FC0CB5CA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2022-06-20T22:57:00Z</dcterms:created>
  <dcterms:modified xsi:type="dcterms:W3CDTF">2022-06-20T22:57:00Z</dcterms:modified>
</cp:coreProperties>
</file>